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headerReference w:type="default" r:id="rId1"/>
          <w:footerReference w:type="default" r:id="rId2"/>
          <w:pgSz w:w="11900" w:h="16840"/>
          <w:pgMar w:top="1" w:right="0" w:bottom="1" w:left="0" w:header="0" w:footer="0" w:gutter="0"/>
        </w:sectPr>
        <w:rPr/>
      </w:pPr>
    </w:p>
    <w:p>
      <w:pPr>
        <w:spacing w:before="25"/>
        <w:rPr/>
      </w:pPr>
      <w:r/>
    </w:p>
    <w:tbl>
      <w:tblPr>
        <w:tblStyle w:val="TableNormal"/>
        <w:tblW w:w="91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6"/>
        <w:gridCol w:w="1423"/>
        <w:gridCol w:w="1026"/>
        <w:gridCol w:w="1275"/>
        <w:gridCol w:w="631"/>
        <w:gridCol w:w="784"/>
        <w:gridCol w:w="2704"/>
      </w:tblGrid>
      <w:tr>
        <w:trPr>
          <w:trHeight w:val="1533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120"/>
              <w:spacing w:before="76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8"/>
              </w:rPr>
              <w:t>企业（或者</w:t>
            </w:r>
          </w:p>
          <w:p>
            <w:pPr>
              <w:pStyle w:val="TableText"/>
              <w:ind w:left="197"/>
              <w:spacing w:before="97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其他经济</w:t>
            </w:r>
          </w:p>
          <w:p>
            <w:pPr>
              <w:pStyle w:val="TableText"/>
              <w:ind w:left="112"/>
              <w:spacing w:before="101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7"/>
              </w:rPr>
              <w:t>体组织）名</w:t>
            </w:r>
          </w:p>
          <w:p>
            <w:pPr>
              <w:pStyle w:val="TableText"/>
              <w:ind w:left="562"/>
              <w:spacing w:before="96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称</w:t>
            </w:r>
          </w:p>
        </w:tc>
        <w:tc>
          <w:tcPr>
            <w:tcW w:w="2449" w:type="dxa"/>
            <w:vAlign w:val="top"/>
            <w:gridSpan w:val="2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3" w:right="143" w:hanging="731"/>
              <w:spacing w:before="78" w:line="255" w:lineRule="auto"/>
              <w:rPr/>
            </w:pPr>
            <w:r>
              <w:rPr>
                <w:spacing w:val="-3"/>
              </w:rPr>
              <w:t>苏州琨山通用锁具有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906" w:type="dxa"/>
            <w:vAlign w:val="top"/>
            <w:gridSpan w:val="2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8"/>
              <w:spacing w:before="78" w:line="22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地址</w:t>
            </w:r>
          </w:p>
        </w:tc>
        <w:tc>
          <w:tcPr>
            <w:tcW w:w="3488" w:type="dxa"/>
            <w:vAlign w:val="top"/>
            <w:gridSpan w:val="2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3" w:right="183" w:hanging="1242"/>
              <w:spacing w:before="78" w:line="259" w:lineRule="auto"/>
              <w:rPr/>
            </w:pPr>
            <w:r>
              <w:rPr>
                <w:spacing w:val="-2"/>
              </w:rPr>
              <w:t>江苏省昆山市淀山湖镇淀兴路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号</w:t>
            </w:r>
          </w:p>
        </w:tc>
      </w:tr>
      <w:tr>
        <w:trPr>
          <w:trHeight w:val="767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317"/>
              <w:spacing w:before="262" w:line="219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联系人</w:t>
            </w:r>
          </w:p>
        </w:tc>
        <w:tc>
          <w:tcPr>
            <w:tcW w:w="2449" w:type="dxa"/>
            <w:vAlign w:val="top"/>
            <w:gridSpan w:val="2"/>
          </w:tcPr>
          <w:p>
            <w:pPr>
              <w:pStyle w:val="TableText"/>
              <w:ind w:left="875"/>
              <w:spacing w:before="261" w:line="222" w:lineRule="auto"/>
              <w:rPr/>
            </w:pPr>
            <w:r>
              <w:rPr>
                <w:spacing w:val="-6"/>
              </w:rPr>
              <w:t>蒋洪荣</w:t>
            </w:r>
          </w:p>
        </w:tc>
        <w:tc>
          <w:tcPr>
            <w:tcW w:w="1906" w:type="dxa"/>
            <w:vAlign w:val="top"/>
            <w:gridSpan w:val="2"/>
          </w:tcPr>
          <w:p>
            <w:pPr>
              <w:pStyle w:val="TableText"/>
              <w:spacing w:before="71" w:line="218" w:lineRule="auto"/>
              <w:jc w:val="right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联系方式（电话、</w:t>
            </w:r>
          </w:p>
          <w:p>
            <w:pPr>
              <w:pStyle w:val="TableText"/>
              <w:ind w:left="559"/>
              <w:spacing w:before="98" w:line="231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email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）</w:t>
            </w:r>
          </w:p>
        </w:tc>
        <w:tc>
          <w:tcPr>
            <w:tcW w:w="3488" w:type="dxa"/>
            <w:vAlign w:val="top"/>
            <w:gridSpan w:val="2"/>
          </w:tcPr>
          <w:p>
            <w:pPr>
              <w:ind w:left="1107"/>
              <w:spacing w:before="3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13812935772</w:t>
            </w:r>
          </w:p>
        </w:tc>
      </w:tr>
      <w:tr>
        <w:trPr>
          <w:trHeight w:val="386" w:hRule="atLeast"/>
        </w:trPr>
        <w:tc>
          <w:tcPr>
            <w:tcW w:w="9189" w:type="dxa"/>
            <w:vAlign w:val="top"/>
            <w:gridSpan w:val="7"/>
          </w:tcPr>
          <w:p>
            <w:pPr>
              <w:pStyle w:val="TableText"/>
              <w:ind w:left="120"/>
              <w:spacing w:before="72" w:line="215" w:lineRule="auto"/>
              <w:rPr/>
            </w:pPr>
            <w:r>
              <w:rPr>
                <w:spacing w:val="1"/>
              </w:rPr>
              <w:t>企业（或者其他经济组织）是否是委托方</w:t>
            </w:r>
            <w:r>
              <w:rPr>
                <w:spacing w:val="-34"/>
              </w:rPr>
              <w:t>？（</w:t>
            </w:r>
            <w:r>
              <w:rPr>
                <w:spacing w:val="1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1"/>
              </w:rPr>
              <w:t>否，如否，请填写下列委托方信息。</w:t>
            </w:r>
          </w:p>
        </w:tc>
      </w:tr>
      <w:tr>
        <w:trPr>
          <w:trHeight w:val="386" w:hRule="atLeast"/>
        </w:trPr>
        <w:tc>
          <w:tcPr>
            <w:tcW w:w="5070" w:type="dxa"/>
            <w:vAlign w:val="top"/>
            <w:gridSpan w:val="4"/>
          </w:tcPr>
          <w:p>
            <w:pPr>
              <w:pStyle w:val="TableText"/>
              <w:ind w:left="120"/>
              <w:spacing w:before="72" w:line="216" w:lineRule="auto"/>
              <w:rPr/>
            </w:pPr>
            <w:r>
              <w:rPr>
                <w:spacing w:val="-1"/>
              </w:rPr>
              <w:t>企业（或者其他经济组织）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所属行业领域</w:t>
            </w:r>
          </w:p>
        </w:tc>
        <w:tc>
          <w:tcPr>
            <w:tcW w:w="4119" w:type="dxa"/>
            <w:vAlign w:val="top"/>
            <w:gridSpan w:val="3"/>
          </w:tcPr>
          <w:p>
            <w:pPr>
              <w:pStyle w:val="TableText"/>
              <w:ind w:left="265"/>
              <w:spacing w:before="7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C3351-</w:t>
            </w:r>
            <w:r>
              <w:rPr>
                <w:spacing w:val="-1"/>
              </w:rPr>
              <w:t>建筑、家具用金属配件制造</w:t>
            </w:r>
          </w:p>
        </w:tc>
      </w:tr>
      <w:tr>
        <w:trPr>
          <w:trHeight w:val="386" w:hRule="atLeast"/>
        </w:trPr>
        <w:tc>
          <w:tcPr>
            <w:tcW w:w="5070" w:type="dxa"/>
            <w:vAlign w:val="top"/>
            <w:gridSpan w:val="4"/>
          </w:tcPr>
          <w:p>
            <w:pPr>
              <w:pStyle w:val="TableText"/>
              <w:ind w:left="120"/>
              <w:spacing w:before="72" w:line="216" w:lineRule="auto"/>
              <w:rPr/>
            </w:pPr>
            <w:r>
              <w:rPr>
                <w:spacing w:val="-1"/>
              </w:rPr>
              <w:t>企业（或者其他经济组织）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是否为独立法人</w:t>
            </w:r>
          </w:p>
        </w:tc>
        <w:tc>
          <w:tcPr>
            <w:tcW w:w="4119" w:type="dxa"/>
            <w:vAlign w:val="top"/>
            <w:gridSpan w:val="3"/>
          </w:tcPr>
          <w:p>
            <w:pPr>
              <w:pStyle w:val="TableText"/>
              <w:ind w:left="113"/>
              <w:spacing w:before="73" w:line="219" w:lineRule="auto"/>
              <w:rPr/>
            </w:pPr>
            <w:r>
              <w:rPr/>
              <w:t>是</w:t>
            </w:r>
          </w:p>
        </w:tc>
      </w:tr>
      <w:tr>
        <w:trPr>
          <w:trHeight w:val="1528" w:hRule="atLeast"/>
        </w:trPr>
        <w:tc>
          <w:tcPr>
            <w:tcW w:w="5070" w:type="dxa"/>
            <w:vAlign w:val="top"/>
            <w:gridSpan w:val="4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核算和报告依据</w:t>
            </w:r>
          </w:p>
        </w:tc>
        <w:tc>
          <w:tcPr>
            <w:tcW w:w="4119" w:type="dxa"/>
            <w:vAlign w:val="top"/>
            <w:gridSpan w:val="3"/>
          </w:tcPr>
          <w:p>
            <w:pPr>
              <w:pStyle w:val="TableText"/>
              <w:ind w:left="122" w:right="106" w:hanging="10"/>
              <w:spacing w:before="73" w:line="25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《工业企业温室气体排放核算和报告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通则》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GB/T32150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3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2015</w:t>
            </w:r>
          </w:p>
          <w:p>
            <w:pPr>
              <w:pStyle w:val="TableText"/>
              <w:ind w:left="123" w:right="106" w:hanging="11"/>
              <w:spacing w:before="96" w:line="255" w:lineRule="auto"/>
              <w:rPr/>
            </w:pPr>
            <w:r>
              <w:rPr>
                <w:spacing w:val="3"/>
              </w:rPr>
              <w:t>《工业其他行业企业温室气体排放核</w:t>
            </w:r>
            <w:r>
              <w:rPr>
                <w:spacing w:val="5"/>
              </w:rPr>
              <w:t xml:space="preserve"> </w:t>
            </w:r>
            <w:r>
              <w:rPr/>
              <w:t>算方法与报告指南（试行）》</w:t>
            </w:r>
          </w:p>
        </w:tc>
      </w:tr>
      <w:tr>
        <w:trPr>
          <w:trHeight w:val="386" w:hRule="atLeast"/>
        </w:trPr>
        <w:tc>
          <w:tcPr>
            <w:tcW w:w="5070" w:type="dxa"/>
            <w:vAlign w:val="top"/>
            <w:gridSpan w:val="4"/>
          </w:tcPr>
          <w:p>
            <w:pPr>
              <w:pStyle w:val="TableText"/>
              <w:ind w:left="131"/>
              <w:spacing w:before="74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温室气体排放报告（初始）版本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/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日期</w:t>
            </w:r>
          </w:p>
        </w:tc>
        <w:tc>
          <w:tcPr>
            <w:tcW w:w="4119" w:type="dxa"/>
            <w:vAlign w:val="top"/>
            <w:gridSpan w:val="3"/>
          </w:tcPr>
          <w:p>
            <w:pPr>
              <w:ind w:left="107"/>
              <w:spacing w:before="10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86" w:hRule="atLeast"/>
        </w:trPr>
        <w:tc>
          <w:tcPr>
            <w:tcW w:w="5070" w:type="dxa"/>
            <w:vAlign w:val="top"/>
            <w:gridSpan w:val="4"/>
          </w:tcPr>
          <w:p>
            <w:pPr>
              <w:pStyle w:val="TableText"/>
              <w:ind w:left="131"/>
              <w:spacing w:before="74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温室气体排放报告（最终）版本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/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日期</w:t>
            </w:r>
          </w:p>
        </w:tc>
        <w:tc>
          <w:tcPr>
            <w:tcW w:w="4119" w:type="dxa"/>
            <w:vAlign w:val="top"/>
            <w:gridSpan w:val="3"/>
          </w:tcPr>
          <w:p>
            <w:pPr>
              <w:pStyle w:val="TableText"/>
              <w:ind w:left="129"/>
              <w:spacing w:before="74" w:line="217" w:lineRule="auto"/>
              <w:rPr/>
            </w:pPr>
            <w:r>
              <w:rPr>
                <w:spacing w:val="-5"/>
              </w:rPr>
              <w:t>第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01 </w:t>
            </w:r>
            <w:r>
              <w:rPr>
                <w:spacing w:val="-5"/>
              </w:rPr>
              <w:t>版本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 2026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766" w:hRule="atLeast"/>
        </w:trPr>
        <w:tc>
          <w:tcPr>
            <w:tcW w:w="2769" w:type="dxa"/>
            <w:vAlign w:val="top"/>
            <w:gridSpan w:val="2"/>
          </w:tcPr>
          <w:p>
            <w:pPr>
              <w:pStyle w:val="TableText"/>
              <w:ind w:left="121"/>
              <w:spacing w:before="264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排放量</w:t>
            </w:r>
          </w:p>
        </w:tc>
        <w:tc>
          <w:tcPr>
            <w:tcW w:w="3716" w:type="dxa"/>
            <w:vAlign w:val="top"/>
            <w:gridSpan w:val="4"/>
          </w:tcPr>
          <w:p>
            <w:pPr>
              <w:pStyle w:val="TableText"/>
              <w:ind w:left="1035" w:right="169" w:hanging="856"/>
              <w:spacing w:before="75" w:line="254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按指南核算的企业法人边界的温</w:t>
            </w:r>
            <w:r>
              <w:rPr/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室气体排放总量</w:t>
            </w:r>
          </w:p>
        </w:tc>
        <w:tc>
          <w:tcPr>
            <w:tcW w:w="2704" w:type="dxa"/>
            <w:vAlign w:val="top"/>
          </w:tcPr>
          <w:p>
            <w:pPr>
              <w:pStyle w:val="TableText"/>
              <w:ind w:left="294" w:right="267" w:firstLine="100"/>
              <w:spacing w:before="75" w:line="254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按补充数据表填报</w:t>
            </w:r>
            <w:r>
              <w:rPr>
                <w:spacing w:val="1"/>
              </w:rPr>
              <w:t xml:space="preserve"> 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的二氧化碳排放总量</w:t>
            </w:r>
          </w:p>
        </w:tc>
      </w:tr>
      <w:tr>
        <w:trPr>
          <w:trHeight w:val="386" w:hRule="atLeast"/>
        </w:trPr>
        <w:tc>
          <w:tcPr>
            <w:tcW w:w="276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3" w:right="106" w:firstLine="4"/>
              <w:spacing w:before="77" w:line="262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初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始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报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告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的</w:t>
            </w:r>
            <w:r>
              <w:rPr>
                <w:spacing w:val="-19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排</w:t>
            </w:r>
            <w:r>
              <w:rPr>
                <w:spacing w:val="-21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放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量</w:t>
            </w:r>
            <w:r>
              <w:rPr/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）</w:t>
            </w:r>
          </w:p>
        </w:tc>
        <w:tc>
          <w:tcPr>
            <w:tcW w:w="3716" w:type="dxa"/>
            <w:vAlign w:val="top"/>
            <w:gridSpan w:val="4"/>
          </w:tcPr>
          <w:p>
            <w:pPr>
              <w:pStyle w:val="TableText"/>
              <w:ind w:left="1470"/>
              <w:spacing w:before="74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276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6" w:type="dxa"/>
            <w:vAlign w:val="top"/>
            <w:gridSpan w:val="4"/>
          </w:tcPr>
          <w:p>
            <w:pPr>
              <w:ind w:left="1820"/>
              <w:spacing w:before="11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276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3" w:right="106" w:firstLine="10"/>
              <w:spacing w:before="77" w:line="262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经</w:t>
            </w:r>
            <w:r>
              <w:rPr>
                <w:spacing w:val="-15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核</w:t>
            </w:r>
            <w:r>
              <w:rPr>
                <w:spacing w:val="-19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查</w:t>
            </w:r>
            <w:r>
              <w:rPr>
                <w:spacing w:val="-19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后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的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排</w:t>
            </w:r>
            <w:r>
              <w:rPr>
                <w:spacing w:val="-21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放</w:t>
            </w:r>
            <w:r>
              <w:rPr>
                <w:spacing w:val="-14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量</w:t>
            </w:r>
            <w:r>
              <w:rPr/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）</w:t>
            </w:r>
          </w:p>
        </w:tc>
        <w:tc>
          <w:tcPr>
            <w:tcW w:w="3716" w:type="dxa"/>
            <w:vAlign w:val="top"/>
            <w:gridSpan w:val="4"/>
          </w:tcPr>
          <w:p>
            <w:pPr>
              <w:pStyle w:val="TableText"/>
              <w:ind w:left="1470"/>
              <w:spacing w:before="74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276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6" w:type="dxa"/>
            <w:vAlign w:val="top"/>
            <w:gridSpan w:val="4"/>
          </w:tcPr>
          <w:p>
            <w:pPr>
              <w:ind w:left="1535"/>
              <w:spacing w:before="1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954.31</w:t>
            </w:r>
          </w:p>
        </w:tc>
        <w:tc>
          <w:tcPr>
            <w:tcW w:w="2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6" w:hRule="atLeast"/>
        </w:trPr>
        <w:tc>
          <w:tcPr>
            <w:tcW w:w="2769" w:type="dxa"/>
            <w:vAlign w:val="top"/>
            <w:gridSpan w:val="2"/>
          </w:tcPr>
          <w:p>
            <w:pPr>
              <w:pStyle w:val="TableText"/>
              <w:ind w:left="118" w:right="106"/>
              <w:spacing w:before="75" w:line="255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3"/>
              </w:rPr>
              <w:t>初始报告排放量和经核</w:t>
            </w:r>
            <w:r>
              <w:rPr>
                <w:spacing w:val="8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查后排放量差异的原因</w:t>
            </w:r>
          </w:p>
        </w:tc>
        <w:tc>
          <w:tcPr>
            <w:tcW w:w="3716" w:type="dxa"/>
            <w:vAlign w:val="top"/>
            <w:gridSpan w:val="4"/>
          </w:tcPr>
          <w:p>
            <w:pPr>
              <w:ind w:left="1820"/>
              <w:spacing w:before="30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704" w:type="dxa"/>
            <w:vAlign w:val="top"/>
          </w:tcPr>
          <w:p>
            <w:pPr>
              <w:ind w:left="1316"/>
              <w:spacing w:before="30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770" w:hRule="atLeast"/>
        </w:trPr>
        <w:tc>
          <w:tcPr>
            <w:tcW w:w="9189" w:type="dxa"/>
            <w:vAlign w:val="top"/>
            <w:gridSpan w:val="7"/>
          </w:tcPr>
          <w:p>
            <w:pPr>
              <w:pStyle w:val="TableText"/>
              <w:ind w:left="117"/>
              <w:spacing w:before="76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核查结论</w:t>
            </w:r>
          </w:p>
          <w:p>
            <w:pPr>
              <w:pStyle w:val="TableText"/>
              <w:ind w:left="121" w:right="106" w:firstLine="472"/>
              <w:spacing w:before="288" w:line="278" w:lineRule="auto"/>
              <w:jc w:val="both"/>
              <w:rPr/>
            </w:pPr>
            <w:r>
              <w:rPr>
                <w:spacing w:val="2"/>
              </w:rPr>
              <w:t>依据《碳排放权交易管理暂行办法》（中华人民共和国国家发展和改革委员会令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5"/>
              </w:rPr>
              <w:t>号）、《关于做好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2022 </w:t>
            </w:r>
            <w:r>
              <w:rPr>
                <w:spacing w:val="-5"/>
              </w:rPr>
              <w:t>年企业温室气体排放报告</w:t>
            </w:r>
            <w:r>
              <w:rPr>
                <w:spacing w:val="-6"/>
              </w:rPr>
              <w:t>管理相关重点工作的通知》（环</w:t>
            </w:r>
            <w:r>
              <w:rPr/>
              <w:t xml:space="preserve"> </w:t>
            </w:r>
            <w:r>
              <w:rPr>
                <w:spacing w:val="-3"/>
              </w:rPr>
              <w:t>办气候函〔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2022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号）的要求，对苏州琨山通用锁具有限公司（以下简称“受核查</w:t>
            </w:r>
            <w:r>
              <w:rPr/>
              <w:t xml:space="preserve"> </w:t>
            </w:r>
            <w:r>
              <w:rPr/>
              <w:t>方”）</w:t>
            </w:r>
            <w:r>
              <w:rPr>
                <w:rFonts w:ascii="Times New Roman" w:hAnsi="Times New Roman" w:eastAsia="Times New Roman" w:cs="Times New Roman"/>
              </w:rPr>
              <w:t>2025 </w:t>
            </w:r>
            <w:r>
              <w:rPr/>
              <w:t>年度的温室气体排放报告进行了第三方核查。经文件评审和现场核查，形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成如下核查结论：</w:t>
            </w:r>
          </w:p>
          <w:p>
            <w:pPr>
              <w:pStyle w:val="TableText"/>
              <w:ind w:left="124"/>
              <w:spacing w:before="288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1. 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排放报告与核算指南的符合性：</w:t>
            </w:r>
          </w:p>
          <w:p>
            <w:pPr>
              <w:pStyle w:val="TableText"/>
              <w:ind w:left="120" w:right="106" w:firstLine="3"/>
              <w:spacing w:before="292" w:line="274" w:lineRule="auto"/>
              <w:jc w:val="both"/>
              <w:rPr/>
            </w:pPr>
            <w:r>
              <w:rPr>
                <w:spacing w:val="-1"/>
              </w:rPr>
              <w:t>经核查，核查组确认苏州琨山通用锁具有限公司提交的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 </w:t>
            </w:r>
            <w:r>
              <w:rPr>
                <w:spacing w:val="-2"/>
              </w:rPr>
              <w:t>年度最终版排放报告中的</w:t>
            </w:r>
            <w:r>
              <w:rPr/>
              <w:t xml:space="preserve"> </w:t>
            </w:r>
            <w:r>
              <w:rPr>
                <w:spacing w:val="2"/>
              </w:rPr>
              <w:t>企业基本情况、核算边界、活动水平数据、排放因子数据以及温室气体排放核算和报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告，符合《工业企业温室气体排放核算和报告通则》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GB/T32150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4"/>
              </w:rPr>
              <w:t>、《工业其他行</w:t>
            </w:r>
            <w:r>
              <w:rPr/>
              <w:t xml:space="preserve"> </w:t>
            </w:r>
            <w:r>
              <w:rPr>
                <w:spacing w:val="-1"/>
              </w:rPr>
              <w:t>业企业温室气体排放核算方法与报告指南（试行）》的相关要求。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pgSz w:w="11906" w:h="16839"/>
          <w:pgMar w:top="1172" w:right="1361" w:bottom="400" w:left="1350" w:header="90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5"/>
        <w:rPr/>
      </w:pPr>
      <w:r/>
    </w:p>
    <w:tbl>
      <w:tblPr>
        <w:tblStyle w:val="TableNormal"/>
        <w:tblW w:w="918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189"/>
      </w:tblGrid>
      <w:tr>
        <w:trPr>
          <w:trHeight w:val="13865" w:hRule="atLeast"/>
        </w:trPr>
        <w:tc>
          <w:tcPr>
            <w:tcW w:w="9189" w:type="dxa"/>
            <w:vAlign w:val="top"/>
          </w:tcPr>
          <w:p>
            <w:pPr>
              <w:pStyle w:val="TableText"/>
              <w:ind w:left="114"/>
              <w:spacing w:before="268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2. 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排放量声明：</w:t>
            </w:r>
          </w:p>
          <w:p>
            <w:pPr>
              <w:pStyle w:val="TableText"/>
              <w:ind w:left="593"/>
              <w:spacing w:before="289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 </w:t>
            </w:r>
            <w:r>
              <w:rPr>
                <w:spacing w:val="-3"/>
              </w:rPr>
              <w:t>企业法人边界的排放量声明</w:t>
            </w:r>
          </w:p>
          <w:p>
            <w:pPr>
              <w:pStyle w:val="TableText"/>
              <w:ind w:left="112" w:right="106" w:firstLine="498"/>
              <w:spacing w:before="100" w:line="255" w:lineRule="auto"/>
              <w:rPr/>
            </w:pPr>
            <w:r>
              <w:rPr>
                <w:spacing w:val="-1"/>
              </w:rPr>
              <w:t>苏州琨山通用锁具有限公司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2025 </w:t>
            </w:r>
            <w:r>
              <w:rPr>
                <w:spacing w:val="-1"/>
              </w:rPr>
              <w:t>年度按照核算方法和报告指南核算的</w:t>
            </w:r>
            <w:r>
              <w:rPr>
                <w:spacing w:val="-2"/>
              </w:rPr>
              <w:t>企业温室气</w:t>
            </w:r>
            <w:r>
              <w:rPr/>
              <w:t xml:space="preserve"> </w:t>
            </w:r>
            <w:r>
              <w:rPr>
                <w:spacing w:val="-1"/>
              </w:rPr>
              <w:t>体排放总量的声明如下：</w:t>
            </w:r>
          </w:p>
          <w:p>
            <w:pPr>
              <w:spacing w:line="25" w:lineRule="exact"/>
              <w:rPr/>
            </w:pPr>
            <w:r/>
          </w:p>
          <w:tbl>
            <w:tblPr>
              <w:tblStyle w:val="TableNormal"/>
              <w:tblW w:w="8973" w:type="dxa"/>
              <w:tblInd w:w="105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5967"/>
              <w:gridCol w:w="3006"/>
            </w:tblGrid>
            <w:tr>
              <w:trPr>
                <w:trHeight w:val="406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2694"/>
                    <w:spacing w:before="84" w:line="216" w:lineRule="auto"/>
                    <w:rPr/>
                  </w:pP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7"/>
                    </w:rPr>
                    <w:t>种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7"/>
                    </w:rPr>
                    <w:t>类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pStyle w:val="TableText"/>
                    <w:ind w:left="752"/>
                    <w:spacing w:before="85" w:line="217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</w:rPr>
                    <w:t>2025 </w:t>
                  </w: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1"/>
                    </w:rPr>
                    <w:t>年排放量</w:t>
                  </w:r>
                </w:p>
              </w:tc>
            </w:tr>
            <w:tr>
              <w:trPr>
                <w:trHeight w:val="385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6"/>
                    <w:spacing w:before="72" w:line="215" w:lineRule="auto"/>
                    <w:rPr/>
                  </w:pPr>
                  <w:r>
                    <w:rPr>
                      <w:spacing w:val="-2"/>
                    </w:rPr>
                    <w:t>化石燃料燃烧排放量（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2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4"/>
                      <w:position w:val="-1"/>
                    </w:rPr>
                    <w:t xml:space="preserve"> </w:t>
                  </w:r>
                  <w:r>
                    <w:rPr>
                      <w:spacing w:val="-2"/>
                    </w:rPr>
                    <w:t>）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240"/>
                    <w:spacing w:before="113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</w:rPr>
                    <w:t>51.18</w:t>
                  </w:r>
                </w:p>
              </w:tc>
            </w:tr>
            <w:tr>
              <w:trPr>
                <w:trHeight w:val="415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3"/>
                    <w:spacing w:before="88" w:line="217" w:lineRule="auto"/>
                    <w:rPr/>
                  </w:pPr>
                  <w:r>
                    <w:rPr>
                      <w:spacing w:val="-1"/>
                    </w:rPr>
                    <w:t>工业生产过程排放量（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8"/>
                      <w:position w:val="-1"/>
                    </w:rPr>
                    <w:t xml:space="preserve"> </w:t>
                  </w:r>
                  <w:r>
                    <w:rPr>
                      <w:spacing w:val="-1"/>
                    </w:rPr>
                    <w:t>）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466"/>
                    <w:spacing w:before="124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426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4"/>
                    <w:spacing w:before="95" w:line="217" w:lineRule="auto"/>
                    <w:rPr/>
                  </w:pPr>
                  <w:r>
                    <w:rPr>
                      <w:spacing w:val="-1"/>
                    </w:rPr>
                    <w:t>净购入使用的电力对应的排放量（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4"/>
                      <w:position w:val="-1"/>
                    </w:rPr>
                    <w:t xml:space="preserve"> </w:t>
                  </w:r>
                  <w:r>
                    <w:rPr>
                      <w:spacing w:val="-1"/>
                    </w:rPr>
                    <w:t>）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178"/>
                    <w:spacing w:before="155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903.13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4"/>
                    <w:spacing w:before="84" w:line="217" w:lineRule="auto"/>
                    <w:rPr/>
                  </w:pPr>
                  <w:r>
                    <w:rPr>
                      <w:spacing w:val="-1"/>
                    </w:rPr>
                    <w:t>净购入使用的热力对应的排放量（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4"/>
                      <w:position w:val="-1"/>
                    </w:rPr>
                    <w:t xml:space="preserve"> </w:t>
                  </w:r>
                  <w:r>
                    <w:rPr>
                      <w:spacing w:val="-1"/>
                    </w:rPr>
                    <w:t>）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466"/>
                    <w:spacing w:before="127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406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0"/>
                    <w:spacing w:before="84" w:line="217" w:lineRule="auto"/>
                    <w:rPr/>
                  </w:pPr>
                  <w:r>
                    <w:rPr>
                      <w:spacing w:val="-1"/>
                    </w:rPr>
                    <w:t>企业二氧化碳排放总量（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spacing w:val="-1"/>
                    </w:rPr>
                    <w:t>）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178"/>
                    <w:spacing w:before="131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954.31</w:t>
                  </w:r>
                </w:p>
              </w:tc>
            </w:tr>
          </w:tbl>
          <w:p>
            <w:pPr>
              <w:pStyle w:val="TableText"/>
              <w:ind w:left="593"/>
              <w:spacing w:before="263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补充数据表填报的二氧化碳排放量声明</w:t>
            </w:r>
          </w:p>
          <w:p>
            <w:pPr>
              <w:pStyle w:val="TableText"/>
              <w:ind w:left="125" w:right="106" w:firstLine="485"/>
              <w:spacing w:before="290" w:line="256" w:lineRule="auto"/>
              <w:rPr/>
            </w:pPr>
            <w:r>
              <w:rPr>
                <w:spacing w:val="-1"/>
              </w:rPr>
              <w:t>苏州琨山通用锁具有限公司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2025 </w:t>
            </w:r>
            <w:r>
              <w:rPr>
                <w:spacing w:val="-1"/>
              </w:rPr>
              <w:t>年度经核查确认的补充数据表二氧化</w:t>
            </w:r>
            <w:r>
              <w:rPr>
                <w:spacing w:val="-2"/>
              </w:rPr>
              <w:t>碳排放总量</w:t>
            </w:r>
            <w:r>
              <w:rPr/>
              <w:t xml:space="preserve"> </w:t>
            </w:r>
            <w:r>
              <w:rPr>
                <w:spacing w:val="-9"/>
              </w:rPr>
              <w:t>为：</w:t>
            </w:r>
          </w:p>
          <w:p>
            <w:pPr>
              <w:spacing w:line="216" w:lineRule="exact"/>
              <w:rPr/>
            </w:pPr>
            <w:r/>
          </w:p>
          <w:tbl>
            <w:tblPr>
              <w:tblStyle w:val="TableNormal"/>
              <w:tblW w:w="8963" w:type="dxa"/>
              <w:tblInd w:w="110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621"/>
              <w:gridCol w:w="3714"/>
              <w:gridCol w:w="2628"/>
            </w:tblGrid>
            <w:tr>
              <w:trPr>
                <w:trHeight w:val="404" w:hRule="atLeast"/>
              </w:trPr>
              <w:tc>
                <w:tcPr>
                  <w:tcW w:w="2621" w:type="dxa"/>
                  <w:vAlign w:val="top"/>
                </w:tcPr>
                <w:p>
                  <w:pPr>
                    <w:pStyle w:val="TableText"/>
                    <w:ind w:left="1080"/>
                    <w:spacing w:before="84" w:line="217" w:lineRule="auto"/>
                    <w:rPr/>
                  </w:pP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7"/>
                    </w:rPr>
                    <w:t>年份</w:t>
                  </w:r>
                </w:p>
              </w:tc>
              <w:tc>
                <w:tcPr>
                  <w:tcW w:w="3714" w:type="dxa"/>
                  <w:vAlign w:val="top"/>
                </w:tcPr>
                <w:p>
                  <w:pPr>
                    <w:pStyle w:val="TableText"/>
                    <w:ind w:left="986"/>
                    <w:spacing w:before="84" w:line="214" w:lineRule="auto"/>
                    <w:rPr/>
                  </w:pP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1"/>
                    </w:rPr>
                    <w:t>设施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</w:rPr>
                    <w:t>/</w:t>
                  </w: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1"/>
                    </w:rPr>
                    <w:t>工序或车间</w:t>
                  </w:r>
                </w:p>
              </w:tc>
              <w:tc>
                <w:tcPr>
                  <w:tcW w:w="2628" w:type="dxa"/>
                  <w:vAlign w:val="top"/>
                </w:tcPr>
                <w:p>
                  <w:pPr>
                    <w:pStyle w:val="TableText"/>
                    <w:ind w:left="462"/>
                    <w:spacing w:before="84" w:line="217" w:lineRule="auto"/>
                    <w:rPr/>
                  </w:pP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2"/>
                    </w:rPr>
                    <w:t>排放量（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b/>
                      <w:bCs/>
                      <w:spacing w:val="-2"/>
                      <w:position w:val="-1"/>
                    </w:rPr>
                    <w:t>2 </w:t>
                  </w: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2"/>
                    </w:rPr>
                    <w:t>）</w:t>
                  </w:r>
                </w:p>
              </w:tc>
            </w:tr>
            <w:tr>
              <w:trPr>
                <w:trHeight w:val="404" w:hRule="atLeast"/>
              </w:trPr>
              <w:tc>
                <w:tcPr>
                  <w:tcW w:w="2621" w:type="dxa"/>
                  <w:vAlign w:val="top"/>
                </w:tcPr>
                <w:p>
                  <w:pPr>
                    <w:ind w:left="1073"/>
                    <w:spacing w:before="121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2025</w:t>
                  </w:r>
                </w:p>
              </w:tc>
              <w:tc>
                <w:tcPr>
                  <w:tcW w:w="3714" w:type="dxa"/>
                  <w:vAlign w:val="top"/>
                </w:tcPr>
                <w:p>
                  <w:pPr>
                    <w:ind w:left="1819"/>
                    <w:spacing w:before="117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28" w:type="dxa"/>
                  <w:vAlign w:val="top"/>
                </w:tcPr>
                <w:p>
                  <w:pPr>
                    <w:ind w:left="1278"/>
                    <w:spacing w:before="117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pStyle w:val="TableText"/>
              <w:ind w:left="112"/>
              <w:spacing w:before="2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3. 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与上年度相比，排放量存在异常波动的原因说明：</w:t>
            </w:r>
          </w:p>
          <w:p>
            <w:pPr>
              <w:pStyle w:val="TableText"/>
              <w:ind w:left="611"/>
              <w:spacing w:before="295" w:line="216" w:lineRule="auto"/>
              <w:rPr/>
            </w:pPr>
            <w:r>
              <w:rPr>
                <w:spacing w:val="-1"/>
              </w:rPr>
              <w:t>苏州琨山通用锁具有限公司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2025 </w:t>
            </w:r>
            <w:r>
              <w:rPr>
                <w:spacing w:val="-1"/>
              </w:rPr>
              <w:t>年度相较于上一年度二氧化碳排放量比较如下：</w:t>
            </w:r>
          </w:p>
          <w:p>
            <w:pPr>
              <w:spacing w:line="219" w:lineRule="exact"/>
              <w:rPr/>
            </w:pPr>
            <w:r/>
          </w:p>
          <w:tbl>
            <w:tblPr>
              <w:tblStyle w:val="TableNormal"/>
              <w:tblW w:w="8963" w:type="dxa"/>
              <w:tblInd w:w="110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3053"/>
              <w:gridCol w:w="1957"/>
              <w:gridCol w:w="1872"/>
              <w:gridCol w:w="2081"/>
            </w:tblGrid>
            <w:tr>
              <w:trPr>
                <w:trHeight w:val="770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1296"/>
                    <w:spacing w:before="265" w:line="217" w:lineRule="auto"/>
                    <w:rPr/>
                  </w:pP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7"/>
                    </w:rPr>
                    <w:t>年度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740"/>
                    <w:spacing w:before="306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b/>
                      <w:bCs/>
                      <w:spacing w:val="-2"/>
                    </w:rPr>
                    <w:t>2025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698"/>
                    <w:spacing w:before="306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b/>
                      <w:bCs/>
                      <w:spacing w:val="-2"/>
                    </w:rPr>
                    <w:t>2024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pStyle w:val="TableText"/>
                    <w:ind w:left="818" w:right="166" w:hanging="705"/>
                    <w:spacing w:before="76" w:line="256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</w:rPr>
                    <w:t>2025 </w:t>
                  </w: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1"/>
                    </w:rPr>
                    <w:t>相较于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</w:rPr>
                    <w:t>2024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14:textOutline w14:w="4358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12"/>
                    </w:rPr>
                    <w:t>波动</w:t>
                  </w:r>
                </w:p>
              </w:tc>
            </w:tr>
            <w:tr>
              <w:trPr>
                <w:trHeight w:val="766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335"/>
                    <w:spacing w:before="74" w:line="217" w:lineRule="auto"/>
                    <w:rPr/>
                  </w:pPr>
                  <w:r>
                    <w:rPr>
                      <w:spacing w:val="-2"/>
                    </w:rPr>
                    <w:t>企业温室气体排放总量</w:t>
                  </w:r>
                </w:p>
                <w:p>
                  <w:pPr>
                    <w:pStyle w:val="TableText"/>
                    <w:ind w:left="1049"/>
                    <w:spacing w:before="98" w:line="230" w:lineRule="auto"/>
                    <w:rPr/>
                  </w:pPr>
                  <w:r>
                    <w:rPr>
                      <w:spacing w:val="-1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5"/>
                      <w:position w:val="-1"/>
                    </w:rPr>
                    <w:t xml:space="preserve"> </w:t>
                  </w:r>
                  <w:r>
                    <w:rPr>
                      <w:spacing w:val="-1"/>
                    </w:rPr>
                    <w:t>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655"/>
                    <w:spacing w:before="304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954.31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902"/>
                    <w:spacing w:before="299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1242"/>
                    <w:spacing w:before="299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766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221"/>
                    <w:spacing w:before="76" w:line="216" w:lineRule="auto"/>
                    <w:rPr/>
                  </w:pPr>
                  <w:r>
                    <w:rPr>
                      <w:spacing w:val="-2"/>
                    </w:rPr>
                    <w:t>补充数据表二氧化碳排放</w:t>
                  </w:r>
                </w:p>
                <w:p>
                  <w:pPr>
                    <w:pStyle w:val="TableText"/>
                    <w:ind w:left="829"/>
                    <w:spacing w:before="97" w:line="220" w:lineRule="auto"/>
                    <w:rPr/>
                  </w:pPr>
                  <w:r>
                    <w:rPr>
                      <w:spacing w:val="-3"/>
                    </w:rPr>
                    <w:t>总量（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3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7"/>
                      <w:position w:val="-1"/>
                    </w:rPr>
                    <w:t xml:space="preserve"> </w:t>
                  </w:r>
                  <w:r>
                    <w:rPr>
                      <w:spacing w:val="-3"/>
                    </w:rPr>
                    <w:t>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902"/>
                    <w:spacing w:before="298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1242"/>
                    <w:spacing w:before="298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813"/>
                    <w:spacing w:before="84" w:line="218" w:lineRule="auto"/>
                    <w:rPr/>
                  </w:pPr>
                  <w:r>
                    <w:rPr>
                      <w:spacing w:val="-2"/>
                    </w:rPr>
                    <w:t>产值（万元）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684"/>
                    <w:spacing w:before="122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32438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902"/>
                    <w:spacing w:before="118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1242"/>
                    <w:spacing w:before="118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771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579"/>
                    <w:spacing w:before="76" w:line="216" w:lineRule="auto"/>
                    <w:rPr/>
                  </w:pPr>
                  <w:r>
                    <w:rPr>
                      <w:spacing w:val="-2"/>
                    </w:rPr>
                    <w:t>单位产值排放强度</w:t>
                  </w:r>
                </w:p>
                <w:p>
                  <w:pPr>
                    <w:pStyle w:val="TableText"/>
                    <w:ind w:left="778"/>
                    <w:spacing w:before="100" w:line="221" w:lineRule="auto"/>
                    <w:rPr/>
                  </w:pPr>
                  <w:r>
                    <w:rPr>
                      <w:spacing w:val="-1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/</w:t>
                  </w:r>
                  <w:r>
                    <w:rPr>
                      <w:spacing w:val="-1"/>
                    </w:rPr>
                    <w:t>万元）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714"/>
                    <w:spacing w:before="307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0.029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902"/>
                    <w:spacing w:before="302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1242"/>
                    <w:spacing w:before="302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4. 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核查过程中未覆盖的问题或者特别需要说明的问题描述：</w:t>
            </w:r>
          </w:p>
          <w:p>
            <w:pPr>
              <w:pStyle w:val="TableText"/>
              <w:ind w:left="605"/>
              <w:spacing w:before="289" w:line="220" w:lineRule="auto"/>
              <w:rPr/>
            </w:pPr>
            <w:r>
              <w:rPr>
                <w:spacing w:val="-9"/>
              </w:rPr>
              <w:t>无。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172" w:right="1361" w:bottom="400" w:left="1350" w:header="90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5"/>
        <w:rPr/>
      </w:pPr>
      <w:r/>
    </w:p>
    <w:tbl>
      <w:tblPr>
        <w:tblStyle w:val="TableNormal"/>
        <w:tblW w:w="92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6"/>
        <w:gridCol w:w="1289"/>
        <w:gridCol w:w="1160"/>
        <w:gridCol w:w="1906"/>
        <w:gridCol w:w="1044"/>
        <w:gridCol w:w="2456"/>
      </w:tblGrid>
      <w:tr>
        <w:trPr>
          <w:trHeight w:val="770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198"/>
              <w:spacing w:before="266" w:line="217" w:lineRule="auto"/>
              <w:rPr/>
            </w:pPr>
            <w:r>
              <w:rPr>
                <w:spacing w:val="-3"/>
              </w:rPr>
              <w:t>核查组长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91"/>
              <w:spacing w:before="265" w:line="218" w:lineRule="auto"/>
              <w:rPr/>
            </w:pPr>
            <w:r>
              <w:rPr>
                <w:spacing w:val="-5"/>
              </w:rPr>
              <w:t>李英姿</w:t>
            </w:r>
          </w:p>
        </w:tc>
        <w:tc>
          <w:tcPr>
            <w:tcW w:w="1160" w:type="dxa"/>
            <w:vAlign w:val="top"/>
          </w:tcPr>
          <w:p>
            <w:pPr>
              <w:pStyle w:val="TableText"/>
              <w:ind w:left="353"/>
              <w:spacing w:before="266" w:line="219" w:lineRule="auto"/>
              <w:rPr/>
            </w:pPr>
            <w:r>
              <w:rPr>
                <w:spacing w:val="-9"/>
              </w:rPr>
              <w:t>签名</w:t>
            </w:r>
          </w:p>
        </w:tc>
        <w:tc>
          <w:tcPr>
            <w:tcW w:w="1906" w:type="dxa"/>
            <w:vAlign w:val="top"/>
          </w:tcPr>
          <w:p>
            <w:pPr>
              <w:ind w:firstLine="105"/>
              <w:spacing w:before="146" w:line="46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781811" cy="295656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29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vAlign w:val="top"/>
          </w:tcPr>
          <w:p>
            <w:pPr>
              <w:pStyle w:val="TableText"/>
              <w:ind w:left="335"/>
              <w:spacing w:before="268" w:line="218" w:lineRule="auto"/>
              <w:rPr/>
            </w:pPr>
            <w:r>
              <w:rPr>
                <w:spacing w:val="-28"/>
              </w:rPr>
              <w:t>日期</w:t>
            </w:r>
          </w:p>
        </w:tc>
        <w:tc>
          <w:tcPr>
            <w:tcW w:w="2456" w:type="dxa"/>
            <w:vAlign w:val="top"/>
          </w:tcPr>
          <w:p>
            <w:pPr>
              <w:pStyle w:val="TableText"/>
              <w:ind w:left="360"/>
              <w:spacing w:before="266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</w:t>
            </w:r>
            <w:r>
              <w:rPr>
                <w:rFonts w:ascii="Times New Roman" w:hAnsi="Times New Roman" w:eastAsia="Times New Roman" w:cs="Times New Roman"/>
                <w:spacing w:val="54"/>
                <w:w w:val="101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728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198"/>
              <w:spacing w:before="244" w:line="217" w:lineRule="auto"/>
              <w:rPr/>
            </w:pPr>
            <w:r>
              <w:rPr>
                <w:spacing w:val="-3"/>
              </w:rPr>
              <w:t>核查组员</w:t>
            </w:r>
          </w:p>
        </w:tc>
        <w:tc>
          <w:tcPr>
            <w:tcW w:w="7855" w:type="dxa"/>
            <w:vAlign w:val="top"/>
            <w:gridSpan w:val="5"/>
          </w:tcPr>
          <w:p>
            <w:pPr>
              <w:pStyle w:val="TableText"/>
              <w:ind w:left="125"/>
              <w:spacing w:before="244" w:line="218" w:lineRule="auto"/>
              <w:rPr/>
            </w:pPr>
            <w:r>
              <w:rPr>
                <w:spacing w:val="-4"/>
              </w:rPr>
              <w:t>付殿东、陈翔</w:t>
            </w:r>
          </w:p>
        </w:tc>
      </w:tr>
      <w:tr>
        <w:trPr>
          <w:trHeight w:val="782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561" w:right="190" w:hanging="359"/>
              <w:spacing w:before="81" w:line="258" w:lineRule="auto"/>
              <w:rPr/>
            </w:pPr>
            <w:r>
              <w:rPr>
                <w:spacing w:val="-4"/>
              </w:rPr>
              <w:t>技术复核</w:t>
            </w:r>
            <w:r>
              <w:rPr>
                <w:spacing w:val="2"/>
              </w:rPr>
              <w:t xml:space="preserve"> </w:t>
            </w:r>
            <w:r>
              <w:rPr/>
              <w:t>人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11"/>
              <w:spacing w:before="272" w:line="217" w:lineRule="auto"/>
              <w:rPr/>
            </w:pPr>
            <w:r>
              <w:rPr>
                <w:spacing w:val="-7"/>
              </w:rPr>
              <w:t>倪宝</w:t>
            </w:r>
          </w:p>
        </w:tc>
        <w:tc>
          <w:tcPr>
            <w:tcW w:w="1160" w:type="dxa"/>
            <w:vAlign w:val="top"/>
          </w:tcPr>
          <w:p>
            <w:pPr>
              <w:pStyle w:val="TableText"/>
              <w:ind w:left="353"/>
              <w:spacing w:before="272" w:line="219" w:lineRule="auto"/>
              <w:rPr/>
            </w:pPr>
            <w:r>
              <w:rPr>
                <w:spacing w:val="-9"/>
              </w:rPr>
              <w:t>签名</w:t>
            </w:r>
          </w:p>
        </w:tc>
        <w:tc>
          <w:tcPr>
            <w:tcW w:w="1906" w:type="dxa"/>
            <w:vAlign w:val="top"/>
          </w:tcPr>
          <w:p>
            <w:pPr>
              <w:ind w:firstLine="141"/>
              <w:spacing w:before="121" w:line="52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019555" cy="330707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55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vAlign w:val="top"/>
          </w:tcPr>
          <w:p>
            <w:pPr>
              <w:pStyle w:val="TableText"/>
              <w:ind w:left="335"/>
              <w:spacing w:before="274" w:line="218" w:lineRule="auto"/>
              <w:rPr/>
            </w:pPr>
            <w:r>
              <w:rPr>
                <w:spacing w:val="-28"/>
              </w:rPr>
              <w:t>日期</w:t>
            </w:r>
          </w:p>
        </w:tc>
        <w:tc>
          <w:tcPr>
            <w:tcW w:w="2456" w:type="dxa"/>
            <w:vAlign w:val="top"/>
          </w:tcPr>
          <w:p>
            <w:pPr>
              <w:pStyle w:val="TableText"/>
              <w:ind w:left="360"/>
              <w:spacing w:before="272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</w:t>
            </w:r>
            <w:r>
              <w:rPr>
                <w:rFonts w:ascii="Times New Roman" w:hAnsi="Times New Roman" w:eastAsia="Times New Roman" w:cs="Times New Roman"/>
                <w:spacing w:val="54"/>
                <w:w w:val="101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820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327"/>
              <w:spacing w:before="291" w:line="217" w:lineRule="auto"/>
              <w:rPr/>
            </w:pPr>
            <w:r>
              <w:rPr>
                <w:spacing w:val="-6"/>
              </w:rPr>
              <w:t>批准人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91"/>
              <w:spacing w:before="291" w:line="218" w:lineRule="auto"/>
              <w:rPr/>
            </w:pPr>
            <w:r>
              <w:rPr>
                <w:spacing w:val="-5"/>
              </w:rPr>
              <w:t>李金龙</w:t>
            </w:r>
          </w:p>
        </w:tc>
        <w:tc>
          <w:tcPr>
            <w:tcW w:w="1160" w:type="dxa"/>
            <w:vAlign w:val="top"/>
          </w:tcPr>
          <w:p>
            <w:pPr>
              <w:pStyle w:val="TableText"/>
              <w:ind w:left="353"/>
              <w:spacing w:before="292" w:line="219" w:lineRule="auto"/>
              <w:rPr/>
            </w:pPr>
            <w:r>
              <w:rPr>
                <w:spacing w:val="-9"/>
              </w:rPr>
              <w:t>签名</w:t>
            </w:r>
          </w:p>
        </w:tc>
        <w:tc>
          <w:tcPr>
            <w:tcW w:w="1906" w:type="dxa"/>
            <w:vAlign w:val="top"/>
          </w:tcPr>
          <w:p>
            <w:pPr>
              <w:ind w:firstLine="336"/>
              <w:spacing w:before="169" w:line="46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781811" cy="294131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294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vAlign w:val="top"/>
          </w:tcPr>
          <w:p>
            <w:pPr>
              <w:pStyle w:val="TableText"/>
              <w:ind w:left="335"/>
              <w:spacing w:before="291" w:line="218" w:lineRule="auto"/>
              <w:rPr/>
            </w:pPr>
            <w:r>
              <w:rPr>
                <w:spacing w:val="-28"/>
              </w:rPr>
              <w:t>日期</w:t>
            </w:r>
          </w:p>
        </w:tc>
        <w:tc>
          <w:tcPr>
            <w:tcW w:w="2456" w:type="dxa"/>
            <w:vAlign w:val="top"/>
          </w:tcPr>
          <w:p>
            <w:pPr>
              <w:pStyle w:val="TableText"/>
              <w:ind w:left="360"/>
              <w:spacing w:before="291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</w:t>
            </w:r>
            <w:r>
              <w:rPr>
                <w:rFonts w:ascii="Times New Roman" w:hAnsi="Times New Roman" w:eastAsia="Times New Roman" w:cs="Times New Roman"/>
                <w:spacing w:val="54"/>
                <w:w w:val="101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pgSz w:w="11906" w:h="16839"/>
          <w:pgMar w:top="1172" w:right="1349" w:bottom="400" w:left="1350" w:header="90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9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pStyle w:val="BodyText"/>
            <w:ind w:left="3914"/>
            <w:spacing w:before="101" w:line="223" w:lineRule="auto"/>
            <w:rPr>
              <w:sz w:val="31"/>
              <w:szCs w:val="31"/>
            </w:rPr>
          </w:pPr>
          <w:r>
            <w:rPr>
              <w:sz w:val="31"/>
              <w:szCs w:val="31"/>
              <w14:textOutline w14:w="579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5"/>
            </w:rPr>
            <w:t>目录</w:t>
          </w:r>
        </w:p>
        <w:p>
          <w:pPr>
            <w:pStyle w:val="BodyText"/>
            <w:ind w:left="526"/>
            <w:spacing w:before="308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</w:t>
            </w:r>
            <w:r>
              <w:rPr>
                <w:spacing w:val="-13"/>
              </w:rPr>
              <w:t>概述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7"/>
              </w:rPr>
              <w:t>1</w:t>
            </w:r>
          </w:hyperlink>
        </w:p>
        <w:p>
          <w:pPr>
            <w:pStyle w:val="BodyText"/>
            <w:ind w:left="1167"/>
            <w:spacing w:before="291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2">
            <w:r>
              <w:rPr>
                <w:rFonts w:ascii="Times New Roman" w:hAnsi="Times New Roman" w:eastAsia="Times New Roman" w:cs="Times New Roman"/>
                <w:spacing w:val="-7"/>
              </w:rPr>
              <w:t>1.1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</w:t>
            </w:r>
            <w:r>
              <w:rPr>
                <w:spacing w:val="-7"/>
              </w:rPr>
              <w:t>核查目的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1</w:t>
            </w:r>
          </w:hyperlink>
        </w:p>
        <w:p>
          <w:pPr>
            <w:pStyle w:val="BodyText"/>
            <w:ind w:left="1167"/>
            <w:spacing w:before="293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pacing w:val="-7"/>
              </w:rPr>
              <w:t>1.2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</w:t>
            </w:r>
            <w:r>
              <w:rPr>
                <w:spacing w:val="-7"/>
              </w:rPr>
              <w:t>核查范围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1</w:t>
            </w:r>
          </w:hyperlink>
        </w:p>
        <w:p>
          <w:pPr>
            <w:pStyle w:val="BodyText"/>
            <w:ind w:left="1167"/>
            <w:spacing w:before="289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pacing w:val="-7"/>
              </w:rPr>
              <w:t>1.3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</w:t>
            </w:r>
            <w:r>
              <w:rPr>
                <w:spacing w:val="-7"/>
              </w:rPr>
              <w:t>核查准则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2</w:t>
            </w:r>
          </w:hyperlink>
        </w:p>
        <w:p>
          <w:pPr>
            <w:pStyle w:val="BodyText"/>
            <w:ind w:left="579"/>
            <w:spacing w:before="293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pacing w:val="-1"/>
              </w:rPr>
              <w:t>2    </w:t>
            </w:r>
            <w:r>
              <w:rPr>
                <w:spacing w:val="-1"/>
              </w:rPr>
              <w:t>核查过程和方法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4</w:t>
            </w:r>
          </w:hyperlink>
        </w:p>
        <w:p>
          <w:pPr>
            <w:pStyle w:val="BodyText"/>
            <w:ind w:left="1140"/>
            <w:spacing w:before="292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pacing w:val="-1"/>
              </w:rPr>
              <w:t>2.1    </w:t>
            </w:r>
            <w:r>
              <w:rPr>
                <w:spacing w:val="-1"/>
              </w:rPr>
              <w:t>核查组安排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1"/>
              </w:rPr>
              <w:t>4</w:t>
            </w:r>
          </w:hyperlink>
        </w:p>
        <w:p>
          <w:pPr>
            <w:pStyle w:val="BodyText"/>
            <w:ind w:left="1140"/>
            <w:spacing w:before="291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pacing w:val="-5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  </w:t>
            </w:r>
            <w:r>
              <w:rPr>
                <w:spacing w:val="-5"/>
              </w:rPr>
              <w:t>文件评审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4</w:t>
            </w:r>
          </w:hyperlink>
        </w:p>
        <w:p>
          <w:pPr>
            <w:pStyle w:val="BodyText"/>
            <w:ind w:left="1140"/>
            <w:spacing w:before="292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pacing w:val="-4"/>
              </w:rPr>
              <w:t>2.3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4"/>
              </w:rPr>
              <w:t>现场核查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5</w:t>
            </w:r>
          </w:hyperlink>
        </w:p>
        <w:p>
          <w:pPr>
            <w:pStyle w:val="BodyText"/>
            <w:ind w:left="1140"/>
            <w:spacing w:before="291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pacing w:val="-1"/>
              </w:rPr>
              <w:t>2.4    </w:t>
            </w:r>
            <w:r>
              <w:rPr>
                <w:spacing w:val="-1"/>
              </w:rPr>
              <w:t>核查报告编写及内部技术复核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1"/>
                <w:w w:val="120"/>
              </w:rPr>
              <w:t>6</w:t>
            </w:r>
          </w:hyperlink>
        </w:p>
        <w:p>
          <w:pPr>
            <w:pStyle w:val="BodyText"/>
            <w:ind w:left="584"/>
            <w:spacing w:before="292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pacing w:val="-2"/>
              </w:rPr>
              <w:t>3    </w:t>
            </w:r>
            <w:r>
              <w:rPr>
                <w:spacing w:val="-2"/>
              </w:rPr>
              <w:t>核查发现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8"/>
              </w:rPr>
              <w:t>7</w:t>
            </w:r>
          </w:hyperlink>
        </w:p>
        <w:p>
          <w:pPr>
            <w:pStyle w:val="BodyText"/>
            <w:ind w:left="1146"/>
            <w:spacing w:before="293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1">
            <w:r>
              <w:rPr>
                <w:rFonts w:ascii="Times New Roman" w:hAnsi="Times New Roman" w:eastAsia="Times New Roman" w:cs="Times New Roman"/>
                <w:spacing w:val="-1"/>
              </w:rPr>
              <w:t>3.1    </w:t>
            </w:r>
            <w:r>
              <w:rPr>
                <w:spacing w:val="-1"/>
              </w:rPr>
              <w:t>基本情况的核查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"/>
              </w:rPr>
              <w:t>7</w:t>
            </w:r>
          </w:hyperlink>
        </w:p>
        <w:p>
          <w:pPr>
            <w:pStyle w:val="BodyText"/>
            <w:ind w:left="1705"/>
            <w:spacing w:before="289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2">
            <w:r>
              <w:rPr>
                <w:rFonts w:ascii="Times New Roman" w:hAnsi="Times New Roman" w:eastAsia="Times New Roman" w:cs="Times New Roman"/>
                <w:spacing w:val="-1"/>
              </w:rPr>
              <w:t>3.1.1    </w:t>
            </w:r>
            <w:r>
              <w:rPr>
                <w:spacing w:val="-1"/>
              </w:rPr>
              <w:t>受核查方简介和组织机构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0"/>
                <w:w w:val="119"/>
              </w:rPr>
              <w:t>7</w:t>
            </w:r>
          </w:hyperlink>
        </w:p>
        <w:p>
          <w:pPr>
            <w:pStyle w:val="BodyText"/>
            <w:ind w:left="1705"/>
            <w:spacing w:before="294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3">
            <w:r>
              <w:rPr>
                <w:rFonts w:ascii="Times New Roman" w:hAnsi="Times New Roman" w:eastAsia="Times New Roman" w:cs="Times New Roman"/>
                <w:spacing w:val="-1"/>
              </w:rPr>
              <w:t>3.1.2    </w:t>
            </w:r>
            <w:r>
              <w:rPr>
                <w:spacing w:val="-1"/>
              </w:rPr>
              <w:t>能源管理现状及监测设备管理情况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31"/>
              </w:rPr>
              <w:t>8</w:t>
            </w:r>
          </w:hyperlink>
        </w:p>
        <w:p>
          <w:pPr>
            <w:pStyle w:val="BodyText"/>
            <w:ind w:left="1705"/>
            <w:spacing w:before="291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4">
            <w:r>
              <w:rPr>
                <w:rFonts w:ascii="Times New Roman" w:hAnsi="Times New Roman" w:eastAsia="Times New Roman" w:cs="Times New Roman"/>
                <w:spacing w:val="-1"/>
              </w:rPr>
              <w:t>3.1.3    </w:t>
            </w:r>
            <w:r>
              <w:rPr>
                <w:spacing w:val="-1"/>
              </w:rPr>
              <w:t>受核查方工艺流程及产品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32"/>
                <w:w w:val="111"/>
              </w:rPr>
              <w:t>8</w:t>
            </w:r>
          </w:hyperlink>
        </w:p>
        <w:p>
          <w:pPr>
            <w:pStyle w:val="BodyText"/>
            <w:ind w:left="1146"/>
            <w:spacing w:before="292" w:line="184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5">
            <w:r>
              <w:rPr>
                <w:rFonts w:ascii="Times New Roman" w:hAnsi="Times New Roman" w:eastAsia="Times New Roman" w:cs="Times New Roman"/>
                <w:spacing w:val="-1"/>
              </w:rPr>
              <w:t>3.2    </w:t>
            </w:r>
            <w:r>
              <w:rPr>
                <w:spacing w:val="-1"/>
              </w:rPr>
              <w:t>核算边界的核查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"/>
              </w:rPr>
              <w:t>8</w:t>
            </w:r>
          </w:hyperlink>
        </w:p>
        <w:p>
          <w:pPr>
            <w:pStyle w:val="BodyText"/>
            <w:ind w:left="1146"/>
            <w:spacing w:before="291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hyperlink w:history="true" w:anchor="bookmark16">
            <w:r>
              <w:rPr>
                <w:rFonts w:ascii="Times New Roman" w:hAnsi="Times New Roman" w:eastAsia="Times New Roman" w:cs="Times New Roman"/>
                <w:spacing w:val="-1"/>
              </w:rPr>
              <w:t>3.3    </w:t>
            </w:r>
            <w:r>
              <w:rPr>
                <w:spacing w:val="-1"/>
              </w:rPr>
              <w:t>核算方法的核查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"/>
              </w:rPr>
              <w:t>9</w:t>
            </w:r>
          </w:hyperlink>
        </w:p>
        <w:p>
          <w:pPr>
            <w:pStyle w:val="BodyText"/>
            <w:ind w:left="1705"/>
            <w:spacing w:before="289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17">
            <w:r>
              <w:rPr>
                <w:rFonts w:ascii="Times New Roman" w:hAnsi="Times New Roman" w:eastAsia="Times New Roman" w:cs="Times New Roman"/>
                <w:spacing w:val="-1"/>
              </w:rPr>
              <w:t>3.3.1  </w:t>
            </w:r>
            <w:r>
              <w:rPr>
                <w:spacing w:val="-1"/>
              </w:rPr>
              <w:t>化石燃料燃烧排放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30"/>
              </w:rPr>
              <w:t>10</w:t>
            </w:r>
          </w:hyperlink>
        </w:p>
        <w:p>
          <w:pPr>
            <w:pStyle w:val="BodyText"/>
            <w:ind w:left="1705"/>
            <w:spacing w:before="284" w:line="190" w:lineRule="auto"/>
            <w:tabs>
              <w:tab w:val="right" w:leader="dot" w:pos="8324"/>
            </w:tabs>
            <w:rPr>
              <w:rFonts w:ascii="Times New Roman" w:hAnsi="Times New Roman" w:eastAsia="Times New Roman" w:cs="Times New Roman"/>
            </w:rPr>
          </w:pPr>
          <w:hyperlink w:history="true" w:anchor="bookmark18">
            <w:r>
              <w:rPr>
                <w:rFonts w:ascii="Times New Roman" w:hAnsi="Times New Roman" w:eastAsia="Times New Roman" w:cs="Times New Roman"/>
                <w:spacing w:val="-3"/>
              </w:rPr>
              <w:t>3.3.2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 </w:t>
            </w:r>
            <w:r>
              <w:rPr>
                <w:spacing w:val="-3"/>
              </w:rPr>
              <w:t>工业生产过程排放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"/>
              </w:rPr>
              <w:t>11</w:t>
            </w:r>
          </w:hyperlink>
        </w:p>
        <w:p>
          <w:pPr>
            <w:pStyle w:val="BodyText"/>
            <w:ind w:left="1705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19">
            <w:r>
              <w:rPr>
                <w:rFonts w:ascii="Times New Roman" w:hAnsi="Times New Roman" w:eastAsia="Times New Roman" w:cs="Times New Roman"/>
                <w:spacing w:val="-1"/>
              </w:rPr>
              <w:t>3.3.3  </w:t>
            </w:r>
            <w:r>
              <w:rPr>
                <w:spacing w:val="-1"/>
              </w:rPr>
              <w:t>净购入使用电力和热力产生的排放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12</w:t>
            </w:r>
          </w:hyperlink>
        </w:p>
        <w:p>
          <w:pPr>
            <w:pStyle w:val="BodyText"/>
            <w:ind w:left="1146"/>
            <w:spacing w:before="283" w:line="185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0">
            <w:r>
              <w:rPr>
                <w:rFonts w:ascii="Times New Roman" w:hAnsi="Times New Roman" w:eastAsia="Times New Roman" w:cs="Times New Roman"/>
                <w:spacing w:val="-1"/>
              </w:rPr>
              <w:t>3.4    </w:t>
            </w:r>
            <w:r>
              <w:rPr>
                <w:spacing w:val="-1"/>
              </w:rPr>
              <w:t>核算数据的核查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"/>
              </w:rPr>
              <w:t>12</w:t>
            </w:r>
          </w:hyperlink>
        </w:p>
        <w:p>
          <w:pPr>
            <w:pStyle w:val="BodyText"/>
            <w:ind w:left="1705"/>
            <w:spacing w:before="293" w:line="184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1">
            <w:r>
              <w:rPr>
                <w:rFonts w:ascii="Times New Roman" w:hAnsi="Times New Roman" w:eastAsia="Times New Roman" w:cs="Times New Roman"/>
                <w:spacing w:val="-1"/>
              </w:rPr>
              <w:t>3.4.1    </w:t>
            </w:r>
            <w:r>
              <w:rPr>
                <w:spacing w:val="-1"/>
              </w:rPr>
              <w:t>活动水平数据及来源的核查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1"/>
              </w:rPr>
              <w:t>13</w:t>
            </w:r>
          </w:hyperlink>
        </w:p>
        <w:p>
          <w:pPr>
            <w:pStyle w:val="BodyText"/>
            <w:ind w:left="1705"/>
            <w:spacing w:before="292" w:line="185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2">
            <w:r>
              <w:rPr>
                <w:rFonts w:ascii="Times New Roman" w:hAnsi="Times New Roman" w:eastAsia="Times New Roman" w:cs="Times New Roman"/>
                <w:spacing w:val="-1"/>
              </w:rPr>
              <w:t>3.4.2    </w:t>
            </w:r>
            <w:r>
              <w:rPr>
                <w:spacing w:val="-1"/>
              </w:rPr>
              <w:t>排放因子和计算系数数据及来源的核查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1"/>
              </w:rPr>
              <w:t>14</w:t>
            </w:r>
          </w:hyperlink>
        </w:p>
        <w:p>
          <w:pPr>
            <w:pStyle w:val="BodyText"/>
            <w:ind w:left="1705"/>
            <w:spacing w:before="290" w:line="218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3">
            <w:r>
              <w:rPr>
                <w:rFonts w:ascii="Times New Roman" w:hAnsi="Times New Roman" w:eastAsia="Times New Roman" w:cs="Times New Roman"/>
                <w:spacing w:val="-1"/>
              </w:rPr>
              <w:t>3.4.3    </w:t>
            </w:r>
            <w:r>
              <w:rPr>
                <w:spacing w:val="-1"/>
              </w:rPr>
              <w:t>法人边界排放量的核查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5"/>
              </w:rPr>
              <w:t>16</w:t>
            </w:r>
          </w:hyperlink>
        </w:p>
      </w:sdtContent>
    </w:sdt>
    <w:p>
      <w:pPr>
        <w:spacing w:line="218" w:lineRule="auto"/>
        <w:sectPr>
          <w:headerReference w:type="default" r:id="rId9"/>
          <w:pgSz w:w="11906" w:h="16839"/>
          <w:pgMar w:top="1172" w:right="1785" w:bottom="400" w:left="1785" w:header="902" w:footer="0" w:gutter="0"/>
        </w:sectPr>
        <w:rPr>
          <w:rFonts w:ascii="Times New Roman" w:hAnsi="Times New Roman" w:eastAsia="Times New Roman" w:cs="Times New Roman"/>
        </w:rPr>
      </w:pPr>
    </w:p>
    <w:p>
      <w:pPr>
        <w:spacing w:line="322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pStyle w:val="BodyText"/>
            <w:ind w:left="1146"/>
            <w:spacing w:before="91" w:line="184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4">
            <w:r>
              <w:rPr>
                <w:rFonts w:ascii="Times New Roman" w:hAnsi="Times New Roman" w:eastAsia="Times New Roman" w:cs="Times New Roman"/>
                <w:spacing w:val="-1"/>
              </w:rPr>
              <w:t>3.5    </w:t>
            </w:r>
            <w:r>
              <w:rPr>
                <w:spacing w:val="-1"/>
              </w:rPr>
              <w:t>质量保证和文件存档的核查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7"/>
              </w:rPr>
              <w:t>16</w:t>
            </w:r>
          </w:hyperlink>
        </w:p>
        <w:p>
          <w:pPr>
            <w:pStyle w:val="BodyText"/>
            <w:ind w:left="1146"/>
            <w:spacing w:before="291" w:line="185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5">
            <w:r>
              <w:rPr>
                <w:rFonts w:ascii="Times New Roman" w:hAnsi="Times New Roman" w:eastAsia="Times New Roman" w:cs="Times New Roman"/>
                <w:spacing w:val="-1"/>
              </w:rPr>
              <w:t>3.6    </w:t>
            </w:r>
            <w:r>
              <w:rPr>
                <w:spacing w:val="-1"/>
              </w:rPr>
              <w:t>其他核查发现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"/>
              </w:rPr>
              <w:t>17</w:t>
            </w:r>
          </w:hyperlink>
        </w:p>
        <w:p>
          <w:pPr>
            <w:pStyle w:val="BodyText"/>
            <w:ind w:left="577"/>
            <w:spacing w:before="291" w:line="184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6">
            <w:r>
              <w:rPr>
                <w:rFonts w:ascii="Times New Roman" w:hAnsi="Times New Roman" w:eastAsia="Times New Roman" w:cs="Times New Roman"/>
                <w:spacing w:val="-1"/>
              </w:rPr>
              <w:t>4    </w:t>
            </w:r>
            <w:r>
              <w:rPr>
                <w:spacing w:val="-1"/>
              </w:rPr>
              <w:t>核查结论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4"/>
              </w:rPr>
              <w:t>18</w:t>
            </w:r>
          </w:hyperlink>
        </w:p>
        <w:p>
          <w:pPr>
            <w:pStyle w:val="BodyText"/>
            <w:ind w:left="1139"/>
            <w:spacing w:before="291" w:line="185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7">
            <w:r>
              <w:rPr>
                <w:rFonts w:ascii="Times New Roman" w:hAnsi="Times New Roman" w:eastAsia="Times New Roman" w:cs="Times New Roman"/>
                <w:spacing w:val="-1"/>
              </w:rPr>
              <w:t>4.1    </w:t>
            </w:r>
            <w:r>
              <w:rPr>
                <w:spacing w:val="-1"/>
              </w:rPr>
              <w:t>排放报告与核算指南的符合性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4"/>
              </w:rPr>
              <w:t>18</w:t>
            </w:r>
          </w:hyperlink>
        </w:p>
        <w:p>
          <w:pPr>
            <w:pStyle w:val="BodyText"/>
            <w:ind w:left="1139"/>
            <w:spacing w:before="291" w:line="184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28">
            <w:r>
              <w:rPr>
                <w:rFonts w:ascii="Times New Roman" w:hAnsi="Times New Roman" w:eastAsia="Times New Roman" w:cs="Times New Roman"/>
                <w:spacing w:val="-1"/>
              </w:rPr>
              <w:t>4.2    </w:t>
            </w:r>
            <w:r>
              <w:rPr>
                <w:spacing w:val="-1"/>
              </w:rPr>
              <w:t>排放量声明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5"/>
              </w:rPr>
              <w:t>18</w:t>
            </w:r>
          </w:hyperlink>
        </w:p>
        <w:p>
          <w:pPr>
            <w:pStyle w:val="BodyText"/>
            <w:ind w:right="13"/>
            <w:spacing w:before="291" w:line="185" w:lineRule="auto"/>
            <w:jc w:val="right"/>
            <w:rPr/>
          </w:pPr>
          <w:hyperlink w:history="true" w:anchor="bookmark29">
            <w:r>
              <w:rPr>
                <w:rFonts w:ascii="Times New Roman" w:hAnsi="Times New Roman" w:eastAsia="Times New Roman" w:cs="Times New Roman"/>
                <w:spacing w:val="4"/>
              </w:rPr>
              <w:t>4.3    </w:t>
            </w:r>
            <w:r>
              <w:rPr>
                <w:spacing w:val="4"/>
              </w:rPr>
              <w:t>核查过程中未覆盖的问题或者</w:t>
            </w:r>
            <w:r>
              <w:rPr>
                <w:spacing w:val="3"/>
              </w:rPr>
              <w:t>需要特别说明的问题描</w:t>
            </w:r>
          </w:hyperlink>
        </w:p>
        <w:p>
          <w:pPr>
            <w:pStyle w:val="BodyText"/>
            <w:ind w:left="581"/>
            <w:spacing w:before="145" w:line="571" w:lineRule="exact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r>
            <w:rPr>
              <w:spacing w:val="-8"/>
              <w:position w:val="7"/>
            </w:rPr>
            <w:t>述</w:t>
          </w:r>
          <w:r>
            <w:rPr>
              <w:spacing w:val="-87"/>
              <w:position w:val="7"/>
            </w:rPr>
            <w:t xml:space="preserve"> </w:t>
          </w:r>
          <w:r>
            <w:rPr>
              <w:position w:val="7"/>
            </w:rPr>
            <w:tab/>
          </w:r>
          <w:r>
            <w:rPr>
              <w:spacing w:val="-95"/>
              <w:position w:val="7"/>
            </w:rPr>
            <w:t xml:space="preserve"> </w:t>
          </w:r>
          <w:hyperlink w:history="true" w:anchor="bookmark30">
            <w:r>
              <w:rPr>
                <w:rFonts w:ascii="Times New Roman" w:hAnsi="Times New Roman" w:eastAsia="Times New Roman" w:cs="Times New Roman"/>
                <w:position w:val="7"/>
              </w:rPr>
              <w:t>18</w:t>
            </w:r>
          </w:hyperlink>
        </w:p>
        <w:p>
          <w:pPr>
            <w:pStyle w:val="BodyText"/>
            <w:ind w:left="586"/>
            <w:spacing w:before="146" w:line="185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31">
            <w:r>
              <w:rPr>
                <w:rFonts w:ascii="Times New Roman" w:hAnsi="Times New Roman" w:eastAsia="Times New Roman" w:cs="Times New Roman"/>
                <w:spacing w:val="-1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  </w:t>
            </w:r>
            <w:r>
              <w:rPr>
                <w:spacing w:val="-15"/>
              </w:rPr>
              <w:t>附件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7"/>
              </w:rPr>
              <w:t>19</w:t>
            </w:r>
          </w:hyperlink>
        </w:p>
        <w:p>
          <w:pPr>
            <w:pStyle w:val="BodyText"/>
            <w:ind w:left="1166"/>
            <w:spacing w:before="293" w:line="184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32">
            <w:r>
              <w:rPr>
                <w:spacing w:val="-5"/>
              </w:rPr>
              <w:t>附件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：对今后核算活动的建议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7"/>
              </w:rPr>
              <w:t>19</w:t>
            </w:r>
          </w:hyperlink>
        </w:p>
        <w:p>
          <w:pPr>
            <w:pStyle w:val="BodyText"/>
            <w:ind w:left="1166"/>
            <w:spacing w:before="291" w:line="216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hyperlink w:history="true" w:anchor="bookmark33">
            <w:r>
              <w:rPr>
                <w:spacing w:val="-4"/>
              </w:rPr>
              <w:t>附件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：支持性文件清单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33"/>
              </w:rPr>
              <w:t>20</w:t>
            </w:r>
          </w:hyperlink>
        </w:p>
      </w:sdtContent>
    </w:sdt>
    <w:p>
      <w:pPr>
        <w:spacing w:line="216" w:lineRule="auto"/>
        <w:sectPr>
          <w:pgSz w:w="11906" w:h="16839"/>
          <w:pgMar w:top="1172" w:right="1785" w:bottom="400" w:left="1785" w:header="902" w:footer="0" w:gutter="0"/>
        </w:sectPr>
        <w:rPr>
          <w:rFonts w:ascii="Times New Roman" w:hAnsi="Times New Roman" w:eastAsia="Times New Roman" w:cs="Times New Roman"/>
        </w:rPr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678"/>
        <w:spacing w:before="100" w:line="222" w:lineRule="auto"/>
        <w:outlineLvl w:val="0"/>
        <w:rPr>
          <w:sz w:val="31"/>
          <w:szCs w:val="31"/>
        </w:rPr>
      </w:pPr>
      <w:bookmarkStart w:name="bookmark34" w:id="1"/>
      <w:bookmarkEnd w:id="1"/>
      <w:bookmarkStart w:name="bookmark1" w:id="2"/>
      <w:bookmarkEnd w:id="2"/>
      <w:bookmarkStart w:name="bookmark2" w:id="3"/>
      <w:bookmarkEnd w:id="3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 xml:space="preserve">    </w:t>
      </w:r>
      <w:r>
        <w:rPr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概述</w:t>
      </w:r>
    </w:p>
    <w:p>
      <w:pPr>
        <w:pStyle w:val="BodyText"/>
        <w:ind w:left="636"/>
        <w:spacing w:before="326" w:line="217" w:lineRule="auto"/>
        <w:outlineLvl w:val="1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1.1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核查目的</w:t>
      </w:r>
    </w:p>
    <w:p>
      <w:pPr>
        <w:pStyle w:val="BodyText"/>
        <w:ind w:left="28" w:right="54" w:firstLine="555"/>
        <w:spacing w:before="251" w:line="390" w:lineRule="auto"/>
        <w:rPr/>
      </w:pPr>
      <w:r>
        <w:rPr/>
        <w:t>依据《碳排放权交易管理暂行办法》（中华人民共</w:t>
      </w:r>
      <w:r>
        <w:rPr>
          <w:spacing w:val="-1"/>
        </w:rPr>
        <w:t>和国国家发</w:t>
      </w:r>
      <w:r>
        <w:rPr/>
        <w:t xml:space="preserve">  </w:t>
      </w:r>
      <w:r>
        <w:rPr>
          <w:spacing w:val="-2"/>
        </w:rPr>
        <w:t>展和改革委员会令第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号）、《关于做好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2022 </w:t>
      </w:r>
      <w:r>
        <w:rPr>
          <w:spacing w:val="-2"/>
        </w:rPr>
        <w:t>年</w:t>
      </w:r>
      <w:r>
        <w:rPr>
          <w:spacing w:val="-3"/>
        </w:rPr>
        <w:t>企业温室气体排</w:t>
      </w:r>
      <w:r>
        <w:rPr/>
        <w:t xml:space="preserve">  </w:t>
      </w:r>
      <w:r>
        <w:rPr>
          <w:spacing w:val="1"/>
        </w:rPr>
        <w:t>放报告管理相关重点工作的通知》（环办气候函〔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111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号）</w:t>
      </w:r>
      <w:r>
        <w:rPr/>
        <w:t xml:space="preserve">  </w:t>
      </w:r>
      <w:r>
        <w:rPr>
          <w:spacing w:val="-14"/>
        </w:rPr>
        <w:t>的要求，对“苏州琨山通用锁具有限公司”（以下简称“受核查方”）</w:t>
      </w:r>
    </w:p>
    <w:p>
      <w:pPr>
        <w:pStyle w:val="BodyText"/>
        <w:ind w:left="22"/>
        <w:spacing w:before="1" w:line="216" w:lineRule="auto"/>
        <w:rPr/>
      </w:pPr>
      <w:r>
        <w:rPr>
          <w:rFonts w:ascii="Times New Roman" w:hAnsi="Times New Roman" w:eastAsia="Times New Roman" w:cs="Times New Roman"/>
        </w:rPr>
        <w:t>2025 </w:t>
      </w:r>
      <w:r>
        <w:rPr/>
        <w:t>年度的温室气体排放报告进行了第</w:t>
      </w:r>
      <w:r>
        <w:rPr>
          <w:spacing w:val="-1"/>
        </w:rPr>
        <w:t>三方核查。</w:t>
      </w:r>
    </w:p>
    <w:p>
      <w:pPr>
        <w:pStyle w:val="BodyText"/>
        <w:ind w:left="604"/>
        <w:spacing w:before="264" w:line="218" w:lineRule="auto"/>
        <w:rPr/>
      </w:pPr>
      <w:r>
        <w:rPr>
          <w:spacing w:val="-3"/>
        </w:rPr>
        <w:t>此次核查目的包括：</w:t>
      </w:r>
    </w:p>
    <w:p>
      <w:pPr>
        <w:pStyle w:val="BodyText"/>
        <w:ind w:left="31" w:right="193" w:firstLine="557"/>
        <w:spacing w:before="262" w:line="391" w:lineRule="auto"/>
        <w:rPr/>
      </w:pPr>
      <w:r>
        <w:rPr>
          <w:rFonts w:ascii="Times New Roman" w:hAnsi="Times New Roman" w:eastAsia="Times New Roman" w:cs="Times New Roman"/>
          <w:spacing w:val="1"/>
        </w:rPr>
        <w:t>-  </w:t>
      </w:r>
      <w:r>
        <w:rPr>
          <w:spacing w:val="1"/>
        </w:rPr>
        <w:t>确认受核查方提供的二氧化碳排放报告及其支持文件是否完</w:t>
      </w:r>
      <w:r>
        <w:rPr>
          <w:spacing w:val="5"/>
        </w:rPr>
        <w:t xml:space="preserve"> </w:t>
      </w:r>
      <w:r>
        <w:rPr>
          <w:spacing w:val="-1"/>
        </w:rPr>
        <w:t>整可信，是否符合《工业其他行业企业温室气体排放核算方法与报</w:t>
      </w:r>
    </w:p>
    <w:p>
      <w:pPr>
        <w:pStyle w:val="BodyText"/>
        <w:ind w:left="36"/>
        <w:spacing w:line="216" w:lineRule="auto"/>
        <w:rPr/>
      </w:pPr>
      <w:r>
        <w:rPr>
          <w:spacing w:val="-4"/>
        </w:rPr>
        <w:t>告指南（试行）》（以下简称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《核算指南》</w:t>
      </w:r>
      <w:r>
        <w:rPr>
          <w:rFonts w:ascii="Times New Roman" w:hAnsi="Times New Roman" w:eastAsia="Times New Roman" w:cs="Times New Roman"/>
          <w:spacing w:val="-4"/>
        </w:rPr>
        <w:t>” </w:t>
      </w:r>
      <w:r>
        <w:rPr>
          <w:spacing w:val="-4"/>
        </w:rPr>
        <w:t>）的要求；</w:t>
      </w:r>
    </w:p>
    <w:p>
      <w:pPr>
        <w:pStyle w:val="BodyText"/>
        <w:ind w:left="16" w:right="54" w:firstLine="572"/>
        <w:spacing w:before="267" w:line="390" w:lineRule="auto"/>
        <w:rPr/>
      </w:pPr>
      <w:r>
        <w:rPr>
          <w:rFonts w:ascii="Times New Roman" w:hAnsi="Times New Roman" w:eastAsia="Times New Roman" w:cs="Times New Roman"/>
          <w:spacing w:val="-5"/>
        </w:rPr>
        <w:t>-  </w:t>
      </w:r>
      <w:r>
        <w:rPr>
          <w:spacing w:val="-5"/>
        </w:rPr>
        <w:t>确认受核查方提供的《</w:t>
      </w:r>
      <w:r>
        <w:rPr>
          <w:rFonts w:ascii="Times New Roman" w:hAnsi="Times New Roman" w:eastAsia="Times New Roman" w:cs="Times New Roman"/>
          <w:spacing w:val="-5"/>
        </w:rPr>
        <w:t>2025 </w:t>
      </w:r>
      <w:r>
        <w:rPr>
          <w:spacing w:val="-5"/>
        </w:rPr>
        <w:t>年温室气体</w:t>
      </w:r>
      <w:r>
        <w:rPr>
          <w:spacing w:val="-6"/>
        </w:rPr>
        <w:t>排放报告补充数据表》</w:t>
      </w:r>
      <w:r>
        <w:rPr/>
        <w:t xml:space="preserve"> </w:t>
      </w:r>
      <w:r>
        <w:rPr>
          <w:spacing w:val="-1"/>
        </w:rPr>
        <w:t>（以下简称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1"/>
        </w:rPr>
        <w:t>补充数据表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）及其支持文件是否完整可信，是否符合</w:t>
      </w:r>
      <w:r>
        <w:rPr/>
        <w:t xml:space="preserve">  </w:t>
      </w:r>
      <w:r>
        <w:rPr>
          <w:spacing w:val="1"/>
        </w:rPr>
        <w:t>《工业其他行业企业温室气体排放核算方法</w:t>
      </w:r>
      <w:r>
        <w:rPr/>
        <w:t>与报告指南（试行）》</w:t>
      </w:r>
    </w:p>
    <w:p>
      <w:pPr>
        <w:pStyle w:val="BodyText"/>
        <w:ind w:left="51"/>
        <w:spacing w:line="217" w:lineRule="auto"/>
        <w:rPr/>
      </w:pPr>
      <w:r>
        <w:rPr>
          <w:spacing w:val="-3"/>
        </w:rPr>
        <w:t>的要求和补充数据表填写的要求；</w:t>
      </w:r>
    </w:p>
    <w:p>
      <w:pPr>
        <w:pStyle w:val="BodyText"/>
        <w:ind w:left="16" w:right="193" w:firstLine="572"/>
        <w:spacing w:before="263" w:line="391" w:lineRule="auto"/>
        <w:rPr/>
      </w:pPr>
      <w:r>
        <w:rPr>
          <w:rFonts w:ascii="Times New Roman" w:hAnsi="Times New Roman" w:eastAsia="Times New Roman" w:cs="Times New Roman"/>
          <w:spacing w:val="1"/>
        </w:rPr>
        <w:t>-  </w:t>
      </w:r>
      <w:r>
        <w:rPr>
          <w:spacing w:val="1"/>
        </w:rPr>
        <w:t>根据《工业其他行业企业温室气体排放核算方法与报告指南</w:t>
      </w:r>
      <w:r>
        <w:rPr>
          <w:spacing w:val="5"/>
        </w:rPr>
        <w:t xml:space="preserve"> </w:t>
      </w:r>
      <w:r>
        <w:rPr/>
        <w:t>（试行）》的要求，对记录和存储的数据进行评审，确认数据及计</w:t>
      </w:r>
    </w:p>
    <w:p>
      <w:pPr>
        <w:pStyle w:val="BodyText"/>
        <w:ind w:left="36"/>
        <w:spacing w:line="217" w:lineRule="auto"/>
        <w:rPr/>
      </w:pPr>
      <w:r>
        <w:rPr>
          <w:spacing w:val="-2"/>
        </w:rPr>
        <w:t>算结果是否真实、可靠、正确。</w:t>
      </w:r>
    </w:p>
    <w:p>
      <w:pPr>
        <w:pStyle w:val="BodyText"/>
        <w:ind w:left="636"/>
        <w:spacing w:before="255" w:line="217" w:lineRule="auto"/>
        <w:outlineLvl w:val="1"/>
        <w:rPr>
          <w:sz w:val="30"/>
          <w:szCs w:val="30"/>
        </w:rPr>
      </w:pPr>
      <w:bookmarkStart w:name="bookmark35" w:id="4"/>
      <w:bookmarkEnd w:id="4"/>
      <w:bookmarkStart w:name="bookmark3" w:id="5"/>
      <w:bookmarkEnd w:id="5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1.2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核查范围</w:t>
      </w:r>
    </w:p>
    <w:p>
      <w:pPr>
        <w:pStyle w:val="BodyText"/>
        <w:ind w:left="589"/>
        <w:spacing w:before="248" w:line="218" w:lineRule="auto"/>
        <w:rPr/>
      </w:pPr>
      <w:r>
        <w:rPr>
          <w:spacing w:val="-2"/>
        </w:rPr>
        <w:t>本次核查范围包括：</w:t>
      </w:r>
    </w:p>
    <w:p>
      <w:pPr>
        <w:pStyle w:val="BodyText"/>
        <w:ind w:left="40" w:right="280" w:firstLine="548"/>
        <w:spacing w:before="263" w:line="390" w:lineRule="auto"/>
        <w:rPr/>
      </w:pPr>
      <w:r>
        <w:rPr>
          <w:rFonts w:ascii="Times New Roman" w:hAnsi="Times New Roman" w:eastAsia="Times New Roman" w:cs="Times New Roman"/>
          <w:spacing w:val="3"/>
        </w:rPr>
        <w:t>-</w:t>
      </w:r>
      <w:r>
        <w:rPr>
          <w:spacing w:val="3"/>
        </w:rPr>
        <w:t>受核查方法人边界内的温室气体排放总量，涉及直接生产系</w:t>
      </w:r>
      <w:r>
        <w:rPr>
          <w:spacing w:val="9"/>
        </w:rPr>
        <w:t xml:space="preserve"> </w:t>
      </w:r>
      <w:r>
        <w:rPr>
          <w:spacing w:val="-4"/>
        </w:rPr>
        <w:t>统、辅助生产系统及直接为生产服务的附属生产系统产生的温室气</w:t>
      </w:r>
    </w:p>
    <w:p>
      <w:pPr>
        <w:pStyle w:val="BodyText"/>
        <w:ind w:left="20"/>
        <w:spacing w:before="1" w:line="217" w:lineRule="auto"/>
        <w:rPr/>
      </w:pPr>
      <w:r>
        <w:rPr>
          <w:spacing w:val="-2"/>
        </w:rPr>
        <w:t>体排放。</w:t>
      </w:r>
    </w:p>
    <w:p>
      <w:pPr>
        <w:spacing w:line="217" w:lineRule="auto"/>
        <w:sectPr>
          <w:headerReference w:type="default" r:id="rId10"/>
          <w:footerReference w:type="default" r:id="rId11"/>
          <w:pgSz w:w="11906" w:h="16839"/>
          <w:pgMar w:top="1172" w:right="1785" w:bottom="1569" w:left="1785" w:header="902" w:footer="1406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589"/>
        <w:spacing w:before="91" w:line="592" w:lineRule="exact"/>
        <w:rPr/>
      </w:pPr>
      <w:r>
        <w:rPr>
          <w:rFonts w:ascii="Times New Roman" w:hAnsi="Times New Roman" w:eastAsia="Times New Roman" w:cs="Times New Roman"/>
          <w:spacing w:val="5"/>
          <w:position w:val="23"/>
        </w:rPr>
        <w:t>-  </w:t>
      </w:r>
      <w:r>
        <w:rPr>
          <w:spacing w:val="5"/>
          <w:position w:val="23"/>
        </w:rPr>
        <w:t>受核查方</w:t>
      </w:r>
      <w:r>
        <w:rPr>
          <w:spacing w:val="-58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3"/>
        </w:rPr>
        <w:t>2025</w:t>
      </w:r>
      <w:r>
        <w:rPr>
          <w:rFonts w:ascii="Times New Roman" w:hAnsi="Times New Roman" w:eastAsia="Times New Roman" w:cs="Times New Roman"/>
          <w:spacing w:val="22"/>
          <w:w w:val="101"/>
          <w:position w:val="23"/>
        </w:rPr>
        <w:t xml:space="preserve"> </w:t>
      </w:r>
      <w:r>
        <w:rPr>
          <w:spacing w:val="5"/>
          <w:position w:val="23"/>
        </w:rPr>
        <w:t>年度碳排放补充数据核算</w:t>
      </w:r>
      <w:r>
        <w:rPr>
          <w:spacing w:val="4"/>
          <w:position w:val="23"/>
        </w:rPr>
        <w:t>报告中的二氧化碳</w:t>
      </w:r>
    </w:p>
    <w:p>
      <w:pPr>
        <w:pStyle w:val="BodyText"/>
        <w:ind w:left="30"/>
        <w:spacing w:line="217" w:lineRule="auto"/>
        <w:rPr/>
      </w:pPr>
      <w:r>
        <w:rPr>
          <w:spacing w:val="-1"/>
        </w:rPr>
        <w:t>排放量，以及与配额分配相关的所有补充数据。</w:t>
      </w:r>
    </w:p>
    <w:p>
      <w:pPr>
        <w:pStyle w:val="BodyText"/>
        <w:ind w:left="636"/>
        <w:spacing w:before="254" w:line="217" w:lineRule="auto"/>
        <w:outlineLvl w:val="1"/>
        <w:rPr>
          <w:sz w:val="30"/>
          <w:szCs w:val="30"/>
        </w:rPr>
      </w:pPr>
      <w:bookmarkStart w:name="bookmark36" w:id="6"/>
      <w:bookmarkEnd w:id="6"/>
      <w:bookmarkStart w:name="bookmark4" w:id="7"/>
      <w:bookmarkEnd w:id="7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1.3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核查准则</w:t>
      </w:r>
    </w:p>
    <w:p>
      <w:pPr>
        <w:pStyle w:val="BodyText"/>
        <w:ind w:left="34" w:right="195" w:firstLine="570"/>
        <w:spacing w:before="246" w:line="391" w:lineRule="auto"/>
        <w:rPr/>
      </w:pPr>
      <w:r>
        <w:rPr>
          <w:spacing w:val="-1"/>
        </w:rPr>
        <w:t>吉碳众远（上海）环境科技有限公司依据《排放监测计划审核</w:t>
      </w:r>
      <w:r>
        <w:rPr/>
        <w:t xml:space="preserve"> </w:t>
      </w:r>
      <w:r>
        <w:rPr>
          <w:spacing w:val="-1"/>
        </w:rPr>
        <w:t>和排放报告核查参考指南》的相关要求，开展本次核查工作，遵守</w:t>
      </w:r>
    </w:p>
    <w:p>
      <w:pPr>
        <w:pStyle w:val="BodyText"/>
        <w:ind w:left="39"/>
        <w:spacing w:before="1" w:line="217" w:lineRule="auto"/>
        <w:rPr/>
      </w:pPr>
      <w:r>
        <w:rPr>
          <w:spacing w:val="-5"/>
        </w:rPr>
        <w:t>下列原则：</w:t>
      </w:r>
    </w:p>
    <w:p>
      <w:pPr>
        <w:pStyle w:val="BodyText"/>
        <w:ind w:left="578"/>
        <w:spacing w:before="261" w:line="219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）客观独立</w:t>
      </w:r>
    </w:p>
    <w:p>
      <w:pPr>
        <w:pStyle w:val="BodyText"/>
        <w:ind w:left="585"/>
        <w:spacing w:before="262" w:line="593" w:lineRule="exact"/>
        <w:rPr/>
      </w:pPr>
      <w:r>
        <w:rPr>
          <w:position w:val="24"/>
        </w:rPr>
        <w:t>保持独立于委托方和受核查方，避免偏见及利</w:t>
      </w:r>
      <w:r>
        <w:rPr>
          <w:spacing w:val="-1"/>
          <w:position w:val="24"/>
        </w:rPr>
        <w:t>益冲突，在整个</w:t>
      </w:r>
    </w:p>
    <w:p>
      <w:pPr>
        <w:pStyle w:val="BodyText"/>
        <w:ind w:left="26"/>
        <w:spacing w:line="216" w:lineRule="auto"/>
        <w:rPr/>
      </w:pPr>
      <w:r>
        <w:rPr>
          <w:spacing w:val="-1"/>
        </w:rPr>
        <w:t>核查活动中保持客观。</w:t>
      </w:r>
    </w:p>
    <w:p>
      <w:pPr>
        <w:pStyle w:val="BodyText"/>
        <w:ind w:left="578"/>
        <w:spacing w:before="265" w:line="217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）诚信守信</w:t>
      </w:r>
    </w:p>
    <w:p>
      <w:pPr>
        <w:pStyle w:val="BodyText"/>
        <w:ind w:left="597"/>
        <w:spacing w:before="263" w:line="216" w:lineRule="auto"/>
        <w:rPr/>
      </w:pPr>
      <w:r>
        <w:rPr>
          <w:spacing w:val="-1"/>
        </w:rPr>
        <w:t>具有高度的责任感，确保核查工作的完整性和保密性。</w:t>
      </w:r>
    </w:p>
    <w:p>
      <w:pPr>
        <w:pStyle w:val="BodyText"/>
        <w:ind w:left="578"/>
        <w:spacing w:before="263" w:line="219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）公平公正</w:t>
      </w:r>
    </w:p>
    <w:p>
      <w:pPr>
        <w:pStyle w:val="BodyText"/>
        <w:ind w:left="597"/>
        <w:spacing w:before="261" w:line="593" w:lineRule="exact"/>
        <w:rPr/>
      </w:pPr>
      <w:r>
        <w:rPr>
          <w:spacing w:val="-1"/>
          <w:position w:val="23"/>
        </w:rPr>
        <w:t>真实、准确地反映核查活动中的发现和结论，如实报告核查活</w:t>
      </w:r>
    </w:p>
    <w:p>
      <w:pPr>
        <w:pStyle w:val="BodyText"/>
        <w:ind w:left="42"/>
        <w:spacing w:line="217" w:lineRule="auto"/>
        <w:rPr/>
      </w:pPr>
      <w:r>
        <w:rPr>
          <w:spacing w:val="-2"/>
        </w:rPr>
        <w:t>动中所遇到的重大障碍，以及未解决的分歧意见。</w:t>
      </w:r>
    </w:p>
    <w:p>
      <w:pPr>
        <w:pStyle w:val="BodyText"/>
        <w:ind w:left="578"/>
        <w:spacing w:before="264" w:line="219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）专业严谨</w:t>
      </w:r>
    </w:p>
    <w:p>
      <w:pPr>
        <w:pStyle w:val="BodyText"/>
        <w:ind w:left="597"/>
        <w:spacing w:before="260" w:line="593" w:lineRule="exact"/>
        <w:rPr/>
      </w:pPr>
      <w:r>
        <w:rPr>
          <w:spacing w:val="-1"/>
          <w:position w:val="24"/>
        </w:rPr>
        <w:t>具备核查必须的专业技能，能够根据任务的重要性和委托方的</w:t>
      </w:r>
    </w:p>
    <w:p>
      <w:pPr>
        <w:pStyle w:val="BodyText"/>
        <w:ind w:left="36"/>
        <w:spacing w:line="216" w:lineRule="auto"/>
        <w:rPr/>
      </w:pPr>
      <w:r>
        <w:rPr>
          <w:spacing w:val="-2"/>
        </w:rPr>
        <w:t>具体要求，利用其职业素养进行严谨判断。</w:t>
      </w:r>
    </w:p>
    <w:p>
      <w:pPr>
        <w:pStyle w:val="BodyText"/>
        <w:ind w:left="589"/>
        <w:spacing w:before="264" w:line="216" w:lineRule="auto"/>
        <w:rPr/>
      </w:pPr>
      <w:r>
        <w:rPr>
          <w:spacing w:val="-1"/>
        </w:rPr>
        <w:t>本次核查工作的相关依据包括：</w:t>
      </w:r>
    </w:p>
    <w:p>
      <w:pPr>
        <w:pStyle w:val="BodyText"/>
        <w:ind w:left="589"/>
        <w:spacing w:before="266" w:line="591" w:lineRule="exact"/>
        <w:rPr/>
      </w:pPr>
      <w:r>
        <w:rPr>
          <w:rFonts w:ascii="Times New Roman" w:hAnsi="Times New Roman" w:eastAsia="Times New Roman" w:cs="Times New Roman"/>
          <w:spacing w:val="2"/>
          <w:position w:val="23"/>
        </w:rPr>
        <w:t>-</w:t>
      </w:r>
      <w:r>
        <w:rPr>
          <w:rFonts w:ascii="Times New Roman" w:hAnsi="Times New Roman" w:eastAsia="Times New Roman" w:cs="Times New Roman"/>
          <w:spacing w:val="58"/>
          <w:position w:val="23"/>
        </w:rPr>
        <w:t xml:space="preserve"> </w:t>
      </w:r>
      <w:r>
        <w:rPr>
          <w:spacing w:val="2"/>
          <w:position w:val="23"/>
        </w:rPr>
        <w:t>《碳排放权交易管理暂行办法》（中华人</w:t>
      </w:r>
      <w:r>
        <w:rPr>
          <w:spacing w:val="1"/>
          <w:position w:val="23"/>
        </w:rPr>
        <w:t>民共和国国家发展</w:t>
      </w:r>
    </w:p>
    <w:p>
      <w:pPr>
        <w:pStyle w:val="BodyText"/>
        <w:ind w:left="34"/>
        <w:spacing w:before="1" w:line="217" w:lineRule="auto"/>
        <w:rPr/>
      </w:pPr>
      <w:r>
        <w:rPr>
          <w:spacing w:val="-6"/>
        </w:rPr>
        <w:t>和改革委员会令第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号）</w:t>
      </w:r>
    </w:p>
    <w:p>
      <w:pPr>
        <w:pStyle w:val="BodyText"/>
        <w:ind w:left="589"/>
        <w:spacing w:before="262" w:line="593" w:lineRule="exact"/>
        <w:rPr/>
      </w:pPr>
      <w:r>
        <w:rPr>
          <w:rFonts w:ascii="Times New Roman" w:hAnsi="Times New Roman" w:eastAsia="Times New Roman" w:cs="Times New Roman"/>
          <w:position w:val="24"/>
        </w:rPr>
        <w:t>-</w:t>
      </w:r>
      <w:r>
        <w:rPr>
          <w:rFonts w:ascii="Times New Roman" w:hAnsi="Times New Roman" w:eastAsia="Times New Roman" w:cs="Times New Roman"/>
          <w:spacing w:val="-35"/>
          <w:position w:val="24"/>
        </w:rPr>
        <w:t xml:space="preserve"> </w:t>
      </w:r>
      <w:r>
        <w:rPr>
          <w:position w:val="24"/>
        </w:rPr>
        <w:t>《关于做好</w:t>
      </w:r>
      <w:r>
        <w:rPr>
          <w:spacing w:val="-65"/>
          <w:position w:val="24"/>
        </w:rPr>
        <w:t xml:space="preserve"> </w:t>
      </w:r>
      <w:r>
        <w:rPr>
          <w:rFonts w:ascii="Times New Roman" w:hAnsi="Times New Roman" w:eastAsia="Times New Roman" w:cs="Times New Roman"/>
          <w:position w:val="24"/>
        </w:rPr>
        <w:t>2022 </w:t>
      </w:r>
      <w:r>
        <w:rPr>
          <w:position w:val="24"/>
        </w:rPr>
        <w:t>年企业温室气体排放报告管理</w:t>
      </w:r>
      <w:r>
        <w:rPr>
          <w:spacing w:val="-1"/>
          <w:position w:val="24"/>
        </w:rPr>
        <w:t>相关重点工作</w:t>
      </w:r>
    </w:p>
    <w:p>
      <w:pPr>
        <w:pStyle w:val="BodyText"/>
        <w:ind w:left="51"/>
        <w:spacing w:line="217" w:lineRule="auto"/>
        <w:rPr/>
      </w:pPr>
      <w:r>
        <w:rPr>
          <w:spacing w:val="-4"/>
        </w:rPr>
        <w:t>的通知》（环办气候函〔</w:t>
      </w:r>
      <w:r>
        <w:rPr>
          <w:rFonts w:ascii="Times New Roman" w:hAnsi="Times New Roman" w:eastAsia="Times New Roman" w:cs="Times New Roman"/>
          <w:spacing w:val="-4"/>
        </w:rPr>
        <w:t>2022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111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4"/>
        </w:rPr>
        <w:t>号）</w:t>
      </w:r>
    </w:p>
    <w:p>
      <w:pPr>
        <w:pStyle w:val="BodyText"/>
        <w:ind w:left="589"/>
        <w:spacing w:before="264" w:line="216" w:lineRule="auto"/>
        <w:rPr/>
      </w:pP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2"/>
        </w:rPr>
        <w:t>《工业其他行业企业温室气体排放核算方</w:t>
      </w:r>
      <w:r>
        <w:rPr>
          <w:spacing w:val="1"/>
        </w:rPr>
        <w:t>法与报告指南（试</w:t>
      </w:r>
    </w:p>
    <w:p>
      <w:pPr>
        <w:spacing w:line="216" w:lineRule="auto"/>
        <w:sectPr>
          <w:footerReference w:type="default" r:id="rId12"/>
          <w:pgSz w:w="11906" w:h="16839"/>
          <w:pgMar w:top="1172" w:right="1785" w:bottom="1569" w:left="1785" w:header="902" w:footer="1406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91" w:line="216" w:lineRule="auto"/>
        <w:rPr/>
      </w:pPr>
      <w:r>
        <w:rPr>
          <w:spacing w:val="3"/>
        </w:rPr>
        <w:t>行）》</w:t>
      </w:r>
    </w:p>
    <w:p>
      <w:pPr>
        <w:pStyle w:val="BodyText"/>
        <w:ind w:left="589"/>
        <w:spacing w:before="265" w:line="216" w:lineRule="auto"/>
        <w:rPr/>
      </w:pP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/>
        <w:t>《国民经济行业分类》（</w:t>
      </w:r>
      <w:r>
        <w:rPr>
          <w:rFonts w:ascii="Times New Roman" w:hAnsi="Times New Roman" w:eastAsia="Times New Roman" w:cs="Times New Roman"/>
        </w:rPr>
        <w:t>GB/T4754-2017</w:t>
      </w:r>
      <w:r>
        <w:rPr/>
        <w:t>）</w:t>
      </w:r>
    </w:p>
    <w:p>
      <w:pPr>
        <w:pStyle w:val="BodyText"/>
        <w:ind w:left="589"/>
        <w:spacing w:before="264" w:line="218" w:lineRule="auto"/>
        <w:rPr/>
      </w:pP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/>
        <w:t>《统计用产品分类目录》</w:t>
      </w:r>
    </w:p>
    <w:p>
      <w:pPr>
        <w:pStyle w:val="BodyText"/>
        <w:ind w:left="589"/>
        <w:spacing w:before="260" w:line="216" w:lineRule="auto"/>
        <w:rPr/>
      </w:pPr>
      <w:r>
        <w:rPr>
          <w:rFonts w:ascii="Times New Roman" w:hAnsi="Times New Roman" w:eastAsia="Times New Roman" w:cs="Times New Roman"/>
          <w:spacing w:val="-5"/>
        </w:rPr>
        <w:t>-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5"/>
        </w:rPr>
        <w:t>《用能单位能源计量器具配备与管理通则》（</w:t>
      </w:r>
      <w:r>
        <w:rPr>
          <w:rFonts w:ascii="Times New Roman" w:hAnsi="Times New Roman" w:eastAsia="Times New Roman" w:cs="Times New Roman"/>
          <w:spacing w:val="-5"/>
        </w:rPr>
        <w:t>G</w:t>
      </w:r>
      <w:r>
        <w:rPr>
          <w:rFonts w:ascii="Times New Roman" w:hAnsi="Times New Roman" w:eastAsia="Times New Roman" w:cs="Times New Roman"/>
          <w:spacing w:val="-6"/>
        </w:rPr>
        <w:t>B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17167-2025</w:t>
      </w:r>
      <w:r>
        <w:rPr>
          <w:spacing w:val="-6"/>
        </w:rPr>
        <w:t>）</w:t>
      </w:r>
    </w:p>
    <w:p>
      <w:pPr>
        <w:pStyle w:val="BodyText"/>
        <w:ind w:left="589"/>
        <w:spacing w:before="264" w:line="217" w:lineRule="auto"/>
        <w:rPr/>
      </w:pP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/>
        <w:t>《综合能耗计算通则》（</w:t>
      </w:r>
      <w:r>
        <w:rPr>
          <w:rFonts w:ascii="Times New Roman" w:hAnsi="Times New Roman" w:eastAsia="Times New Roman" w:cs="Times New Roman"/>
        </w:rPr>
        <w:t>GB/T2589-2020</w:t>
      </w:r>
      <w:r>
        <w:rPr/>
        <w:t>）</w:t>
      </w:r>
    </w:p>
    <w:p>
      <w:pPr>
        <w:pStyle w:val="BodyText"/>
        <w:ind w:left="589"/>
        <w:spacing w:before="263" w:line="216" w:lineRule="auto"/>
        <w:rPr/>
      </w:pP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/>
        <w:t>《煤的发热量测定方法》（</w:t>
      </w:r>
      <w:r>
        <w:rPr>
          <w:rFonts w:ascii="Times New Roman" w:hAnsi="Times New Roman" w:eastAsia="Times New Roman" w:cs="Times New Roman"/>
        </w:rPr>
        <w:t>GB/T213-2008</w:t>
      </w:r>
      <w:r>
        <w:rPr/>
        <w:t>）</w:t>
      </w:r>
    </w:p>
    <w:p>
      <w:pPr>
        <w:pStyle w:val="BodyText"/>
        <w:ind w:left="589"/>
        <w:spacing w:before="265" w:line="216" w:lineRule="auto"/>
        <w:rPr/>
      </w:pP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/>
        <w:t>《煤中碳和氢的测定方法》（</w:t>
      </w:r>
      <w:r>
        <w:rPr>
          <w:rFonts w:ascii="Times New Roman" w:hAnsi="Times New Roman" w:eastAsia="Times New Roman" w:cs="Times New Roman"/>
        </w:rPr>
        <w:t>GB/T 47</w:t>
      </w:r>
      <w:r>
        <w:rPr>
          <w:rFonts w:ascii="Times New Roman" w:hAnsi="Times New Roman" w:eastAsia="Times New Roman" w:cs="Times New Roman"/>
          <w:spacing w:val="-1"/>
        </w:rPr>
        <w:t>6-2008</w:t>
      </w:r>
      <w:r>
        <w:rPr>
          <w:spacing w:val="-1"/>
        </w:rPr>
        <w:t>）</w:t>
      </w:r>
    </w:p>
    <w:p>
      <w:pPr>
        <w:pStyle w:val="BodyText"/>
        <w:ind w:left="589"/>
        <w:spacing w:before="266" w:line="217" w:lineRule="auto"/>
        <w:rPr/>
      </w:pP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/>
        <w:t>《电能计量装置技术管理规程》（</w:t>
      </w:r>
      <w:r>
        <w:rPr>
          <w:rFonts w:ascii="Times New Roman" w:hAnsi="Times New Roman" w:eastAsia="Times New Roman" w:cs="Times New Roman"/>
        </w:rPr>
        <w:t>DL/T448-2016</w:t>
      </w:r>
      <w:r>
        <w:rPr/>
        <w:t>）</w:t>
      </w:r>
    </w:p>
    <w:p>
      <w:pPr>
        <w:pStyle w:val="BodyText"/>
        <w:ind w:left="589"/>
        <w:spacing w:before="263" w:line="216" w:lineRule="auto"/>
        <w:rPr/>
      </w:pP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/>
        <w:t>《电子式交流电能表检定规程》（</w:t>
      </w:r>
      <w:r>
        <w:rPr>
          <w:rFonts w:ascii="Times New Roman" w:hAnsi="Times New Roman" w:eastAsia="Times New Roman" w:cs="Times New Roman"/>
        </w:rPr>
        <w:t>JJG596-2012</w:t>
      </w:r>
      <w:r>
        <w:rPr/>
        <w:t>）</w:t>
      </w:r>
    </w:p>
    <w:p>
      <w:pPr>
        <w:pStyle w:val="BodyText"/>
        <w:ind w:left="589"/>
        <w:spacing w:before="266" w:line="216" w:lineRule="auto"/>
        <w:rPr/>
      </w:pPr>
      <w:r>
        <w:rPr>
          <w:rFonts w:ascii="Times New Roman" w:hAnsi="Times New Roman" w:eastAsia="Times New Roman" w:cs="Times New Roman"/>
          <w:spacing w:val="-1"/>
        </w:rPr>
        <w:t>-    </w:t>
      </w:r>
      <w:r>
        <w:rPr>
          <w:spacing w:val="-1"/>
        </w:rPr>
        <w:t>其他相关国家、地方或行业标准</w:t>
      </w:r>
    </w:p>
    <w:p>
      <w:pPr>
        <w:spacing w:line="216" w:lineRule="auto"/>
        <w:sectPr>
          <w:footerReference w:type="default" r:id="rId13"/>
          <w:pgSz w:w="11906" w:h="16839"/>
          <w:pgMar w:top="1172" w:right="1785" w:bottom="1569" w:left="1785" w:header="902" w:footer="1407" w:gutter="0"/>
        </w:sectPr>
        <w:rPr/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760"/>
        <w:spacing w:before="100" w:line="222" w:lineRule="auto"/>
        <w:outlineLvl w:val="0"/>
        <w:rPr>
          <w:sz w:val="31"/>
          <w:szCs w:val="31"/>
        </w:rPr>
      </w:pPr>
      <w:bookmarkStart w:name="bookmark37" w:id="8"/>
      <w:bookmarkEnd w:id="8"/>
      <w:bookmarkStart w:name="bookmark5" w:id="9"/>
      <w:bookmarkEnd w:id="9"/>
      <w:bookmarkStart w:name="bookmark6" w:id="10"/>
      <w:bookmarkEnd w:id="10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2    </w:t>
      </w:r>
      <w:r>
        <w:rPr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核查过程和方法</w:t>
      </w:r>
    </w:p>
    <w:p>
      <w:pPr>
        <w:pStyle w:val="BodyText"/>
        <w:ind w:left="719"/>
        <w:spacing w:before="326" w:line="217" w:lineRule="auto"/>
        <w:outlineLvl w:val="1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2.1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核查组安排</w:t>
      </w:r>
    </w:p>
    <w:p>
      <w:pPr>
        <w:pStyle w:val="BodyText"/>
        <w:ind w:left="128" w:right="289" w:firstLine="551"/>
        <w:spacing w:before="248" w:line="391" w:lineRule="auto"/>
        <w:jc w:val="both"/>
        <w:rPr/>
      </w:pPr>
      <w:r>
        <w:rPr/>
        <w:t>依据受核查方的规模、行业，以及核查员的专业领</w:t>
      </w:r>
      <w:r>
        <w:rPr>
          <w:spacing w:val="-1"/>
        </w:rPr>
        <w:t>域和技术能</w:t>
      </w:r>
      <w:r>
        <w:rPr/>
        <w:t xml:space="preserve"> </w:t>
      </w:r>
      <w:r>
        <w:rPr>
          <w:spacing w:val="-1"/>
        </w:rPr>
        <w:t>力，吉碳众远（上海）环境科技有限公司组织了核查组，核查组成</w:t>
      </w:r>
    </w:p>
    <w:p>
      <w:pPr>
        <w:pStyle w:val="BodyText"/>
        <w:ind w:left="143"/>
        <w:spacing w:line="216" w:lineRule="auto"/>
        <w:rPr/>
      </w:pPr>
      <w:r>
        <w:rPr>
          <w:spacing w:val="-5"/>
        </w:rPr>
        <w:t>员详见下表。</w:t>
      </w:r>
    </w:p>
    <w:p>
      <w:pPr>
        <w:pStyle w:val="BodyText"/>
        <w:ind w:left="2835"/>
        <w:spacing w:before="265" w:line="218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2-1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核查组成员表</w:t>
      </w:r>
    </w:p>
    <w:p>
      <w:pPr>
        <w:spacing w:line="105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1"/>
        <w:gridCol w:w="1467"/>
        <w:gridCol w:w="1287"/>
        <w:gridCol w:w="4585"/>
      </w:tblGrid>
      <w:tr>
        <w:trPr>
          <w:trHeight w:val="406" w:hRule="atLeast"/>
        </w:trPr>
        <w:tc>
          <w:tcPr>
            <w:tcW w:w="1181" w:type="dxa"/>
            <w:vAlign w:val="top"/>
          </w:tcPr>
          <w:p>
            <w:pPr>
              <w:pStyle w:val="TableText"/>
              <w:ind w:left="354"/>
              <w:spacing w:before="84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467" w:type="dxa"/>
            <w:vAlign w:val="top"/>
          </w:tcPr>
          <w:p>
            <w:pPr>
              <w:pStyle w:val="TableText"/>
              <w:ind w:left="497"/>
              <w:spacing w:before="84" w:line="219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21"/>
              <w:spacing w:before="84" w:line="218" w:lineRule="auto"/>
              <w:rPr/>
            </w:pPr>
            <w:r>
              <w:rPr>
                <w:spacing w:val="-10"/>
              </w:rPr>
              <w:t>职务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338"/>
              <w:spacing w:before="84" w:line="215" w:lineRule="auto"/>
              <w:rPr/>
            </w:pPr>
            <w:r>
              <w:rPr>
                <w:spacing w:val="-2"/>
              </w:rPr>
              <w:t>核查工作分工内容</w:t>
            </w:r>
          </w:p>
        </w:tc>
      </w:tr>
      <w:tr>
        <w:trPr>
          <w:trHeight w:val="1978" w:hRule="atLeast"/>
        </w:trPr>
        <w:tc>
          <w:tcPr>
            <w:tcW w:w="118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55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78" w:line="218" w:lineRule="auto"/>
              <w:rPr/>
            </w:pPr>
            <w:r>
              <w:rPr>
                <w:spacing w:val="-5"/>
              </w:rPr>
              <w:t>李英姿</w:t>
            </w:r>
          </w:p>
        </w:tc>
        <w:tc>
          <w:tcPr>
            <w:tcW w:w="128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78" w:line="220" w:lineRule="auto"/>
              <w:rPr/>
            </w:pPr>
            <w:r>
              <w:rPr>
                <w:spacing w:val="-7"/>
              </w:rPr>
              <w:t>组长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15" w:right="106" w:firstLine="18"/>
              <w:spacing w:before="79" w:line="28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）企业层级和补充数据表层级的碳排放边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界、排放源和排放设施的核查，排放报告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中活动水平数据和相关参数的符合性核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查，排放量计算及结果的核查等；</w:t>
            </w:r>
          </w:p>
          <w:p>
            <w:pPr>
              <w:pStyle w:val="TableText"/>
              <w:ind w:left="110"/>
              <w:spacing w:before="112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）现场核查。</w:t>
            </w:r>
          </w:p>
        </w:tc>
      </w:tr>
      <w:tr>
        <w:trPr>
          <w:trHeight w:val="1189" w:hRule="atLeast"/>
        </w:trPr>
        <w:tc>
          <w:tcPr>
            <w:tcW w:w="118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78" w:line="219" w:lineRule="auto"/>
              <w:rPr/>
            </w:pPr>
            <w:r>
              <w:rPr>
                <w:spacing w:val="-7"/>
              </w:rPr>
              <w:t>付殿东</w:t>
            </w:r>
          </w:p>
        </w:tc>
        <w:tc>
          <w:tcPr>
            <w:tcW w:w="128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78" w:line="219" w:lineRule="auto"/>
              <w:rPr/>
            </w:pPr>
            <w:r>
              <w:rPr>
                <w:spacing w:val="-7"/>
              </w:rPr>
              <w:t>组员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20" w:right="106" w:firstLine="12"/>
              <w:spacing w:before="80" w:line="260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）受核查方基本信息、主要耗能设备、计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量设备的核查，以及资料收集整理等；</w:t>
            </w:r>
          </w:p>
          <w:p>
            <w:pPr>
              <w:pStyle w:val="TableText"/>
              <w:ind w:left="110"/>
              <w:spacing w:before="114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）现场核查。</w:t>
            </w:r>
          </w:p>
        </w:tc>
      </w:tr>
      <w:tr>
        <w:trPr>
          <w:trHeight w:val="1193" w:hRule="atLeast"/>
        </w:trPr>
        <w:tc>
          <w:tcPr>
            <w:tcW w:w="1181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/>
              <w:spacing w:before="78" w:line="218" w:lineRule="auto"/>
              <w:rPr/>
            </w:pPr>
            <w:r>
              <w:rPr>
                <w:spacing w:val="-17"/>
              </w:rPr>
              <w:t>陈翔</w:t>
            </w:r>
          </w:p>
        </w:tc>
        <w:tc>
          <w:tcPr>
            <w:tcW w:w="1287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78" w:line="219" w:lineRule="auto"/>
              <w:rPr/>
            </w:pPr>
            <w:r>
              <w:rPr>
                <w:spacing w:val="-7"/>
              </w:rPr>
              <w:t>组员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20" w:right="106" w:firstLine="12"/>
              <w:spacing w:before="81" w:line="260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）受核查方基本信息、主要耗能设备、计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量设备的核查，以及资料收集整理等；</w:t>
            </w:r>
          </w:p>
          <w:p>
            <w:pPr>
              <w:pStyle w:val="TableText"/>
              <w:ind w:left="110"/>
              <w:spacing w:before="114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）现场核查。</w:t>
            </w:r>
          </w:p>
        </w:tc>
      </w:tr>
    </w:tbl>
    <w:p>
      <w:pPr>
        <w:pStyle w:val="BodyText"/>
        <w:ind w:left="119"/>
        <w:spacing w:before="147" w:line="217" w:lineRule="auto"/>
        <w:outlineLvl w:val="1"/>
        <w:rPr>
          <w:sz w:val="30"/>
          <w:szCs w:val="30"/>
        </w:rPr>
      </w:pPr>
      <w:bookmarkStart w:name="bookmark38" w:id="11"/>
      <w:bookmarkEnd w:id="11"/>
      <w:bookmarkStart w:name="bookmark7" w:id="12"/>
      <w:bookmarkEnd w:id="12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5"/>
        </w:rPr>
        <w:t>2.2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7"/>
        </w:rPr>
        <w:t xml:space="preserve">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文件评审</w:t>
      </w:r>
    </w:p>
    <w:p>
      <w:pPr>
        <w:pStyle w:val="BodyText"/>
        <w:ind w:left="129" w:right="291" w:firstLine="553"/>
        <w:spacing w:before="251" w:line="390" w:lineRule="auto"/>
        <w:rPr/>
      </w:pPr>
      <w:r>
        <w:rPr>
          <w:spacing w:val="-4"/>
        </w:rPr>
        <w:t>核查组于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2026 </w:t>
      </w:r>
      <w:r>
        <w:rPr>
          <w:spacing w:val="-4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4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28  </w:t>
      </w:r>
      <w:r>
        <w:rPr>
          <w:spacing w:val="-4"/>
        </w:rPr>
        <w:t>日对受核查方提供的相关资料进行了</w:t>
      </w:r>
      <w:r>
        <w:rPr/>
        <w:t xml:space="preserve"> </w:t>
      </w:r>
      <w:r>
        <w:rPr>
          <w:spacing w:val="-1"/>
        </w:rPr>
        <w:t>文件评审。文件评审对象和内容包括：企业基本信息、排放设施清</w:t>
      </w:r>
      <w:r>
        <w:rPr>
          <w:spacing w:val="11"/>
        </w:rPr>
        <w:t xml:space="preserve"> </w:t>
      </w:r>
      <w:r>
        <w:rPr>
          <w:spacing w:val="-1"/>
        </w:rPr>
        <w:t>单、排放源清单、监测设备清单、活动水平和排放因子的相关信息</w:t>
      </w:r>
    </w:p>
    <w:p>
      <w:pPr>
        <w:pStyle w:val="BodyText"/>
        <w:ind w:left="136"/>
        <w:spacing w:before="1" w:line="217" w:lineRule="auto"/>
        <w:rPr/>
      </w:pPr>
      <w:r>
        <w:rPr>
          <w:spacing w:val="-1"/>
        </w:rPr>
        <w:t>等。通过文件评审，核查组识别出如下现场评审的重点：</w:t>
      </w:r>
    </w:p>
    <w:p>
      <w:pPr>
        <w:pStyle w:val="BodyText"/>
        <w:ind w:left="674"/>
        <w:spacing w:before="265" w:line="217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）受核查方的核算边界、排放设施和排放源识别等；</w:t>
      </w:r>
    </w:p>
    <w:p>
      <w:pPr>
        <w:pStyle w:val="BodyText"/>
        <w:ind w:left="674"/>
        <w:spacing w:before="261" w:line="593" w:lineRule="exact"/>
        <w:rPr/>
      </w:pPr>
      <w:r>
        <w:rPr>
          <w:spacing w:val="-5"/>
          <w:position w:val="23"/>
        </w:rPr>
        <w:t>（</w:t>
      </w:r>
      <w:r>
        <w:rPr>
          <w:rFonts w:ascii="Times New Roman" w:hAnsi="Times New Roman" w:eastAsia="Times New Roman" w:cs="Times New Roman"/>
          <w:spacing w:val="-5"/>
          <w:position w:val="23"/>
        </w:rPr>
        <w:t>2</w:t>
      </w:r>
      <w:r>
        <w:rPr>
          <w:spacing w:val="-5"/>
          <w:position w:val="23"/>
        </w:rPr>
        <w:t>）受核查方法人边界排放量相关的活动水平数据和参数</w:t>
      </w:r>
      <w:r>
        <w:rPr>
          <w:spacing w:val="-6"/>
          <w:position w:val="23"/>
        </w:rPr>
        <w:t>的获</w:t>
      </w:r>
    </w:p>
    <w:p>
      <w:pPr>
        <w:pStyle w:val="BodyText"/>
        <w:ind w:left="126"/>
        <w:spacing w:line="217" w:lineRule="auto"/>
        <w:rPr/>
      </w:pPr>
      <w:r>
        <w:rPr>
          <w:spacing w:val="-1"/>
        </w:rPr>
        <w:t>取、记录、传递和汇总的信息流管理；</w:t>
      </w:r>
    </w:p>
    <w:p>
      <w:pPr>
        <w:pStyle w:val="BodyText"/>
        <w:ind w:left="674"/>
        <w:spacing w:before="264" w:line="217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）受核查方配额分配相关补充数据的获取、记录、传递</w:t>
      </w:r>
      <w:r>
        <w:rPr>
          <w:spacing w:val="-6"/>
        </w:rPr>
        <w:t>和汇</w:t>
      </w:r>
    </w:p>
    <w:p>
      <w:pPr>
        <w:spacing w:line="217" w:lineRule="auto"/>
        <w:sectPr>
          <w:headerReference w:type="default" r:id="rId14"/>
          <w:footerReference w:type="default" r:id="rId15"/>
          <w:pgSz w:w="11906" w:h="16839"/>
          <w:pgMar w:top="1172" w:right="1690" w:bottom="1569" w:left="1690" w:header="902" w:footer="1406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0"/>
        <w:spacing w:before="91" w:line="217" w:lineRule="auto"/>
        <w:rPr/>
      </w:pPr>
      <w:r>
        <w:rPr>
          <w:spacing w:val="-4"/>
        </w:rPr>
        <w:t>总的信息流管理；</w:t>
      </w:r>
    </w:p>
    <w:p>
      <w:pPr>
        <w:pStyle w:val="BodyText"/>
        <w:ind w:left="673"/>
        <w:spacing w:before="263" w:line="217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）核算方法和排放数据计算过程；</w:t>
      </w:r>
    </w:p>
    <w:p>
      <w:pPr>
        <w:pStyle w:val="BodyText"/>
        <w:ind w:left="673"/>
        <w:spacing w:before="263" w:line="590" w:lineRule="exact"/>
        <w:rPr/>
      </w:pPr>
      <w:r>
        <w:rPr>
          <w:position w:val="23"/>
        </w:rPr>
        <w:t>（</w:t>
      </w:r>
      <w:r>
        <w:rPr>
          <w:rFonts w:ascii="Times New Roman" w:hAnsi="Times New Roman" w:eastAsia="Times New Roman" w:cs="Times New Roman"/>
          <w:position w:val="23"/>
        </w:rPr>
        <w:t>5</w:t>
      </w:r>
      <w:r>
        <w:rPr>
          <w:position w:val="23"/>
        </w:rPr>
        <w:t>）计量器具和监测设备的校准和维护情</w:t>
      </w:r>
      <w:r>
        <w:rPr>
          <w:spacing w:val="-1"/>
          <w:position w:val="23"/>
        </w:rPr>
        <w:t>况；</w:t>
      </w:r>
    </w:p>
    <w:p>
      <w:pPr>
        <w:pStyle w:val="BodyText"/>
        <w:ind w:left="673"/>
        <w:spacing w:before="1" w:line="214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6</w:t>
      </w:r>
      <w:r>
        <w:rPr/>
        <w:t>）质量保证和文件存档的核查。</w:t>
      </w:r>
    </w:p>
    <w:p>
      <w:pPr>
        <w:pStyle w:val="BodyText"/>
        <w:ind w:left="695"/>
        <w:spacing w:before="267" w:line="592" w:lineRule="exact"/>
        <w:rPr/>
      </w:pPr>
      <w:r>
        <w:rPr>
          <w:spacing w:val="4"/>
          <w:position w:val="24"/>
        </w:rPr>
        <w:t>受核查方提供的支持性材料及相关证明材料见本报告后</w:t>
      </w:r>
      <w:r>
        <w:rPr>
          <w:rFonts w:ascii="Times New Roman" w:hAnsi="Times New Roman" w:eastAsia="Times New Roman" w:cs="Times New Roman"/>
          <w:spacing w:val="4"/>
          <w:position w:val="24"/>
        </w:rPr>
        <w:t>“</w:t>
      </w:r>
      <w:r>
        <w:rPr>
          <w:rFonts w:ascii="Times New Roman" w:hAnsi="Times New Roman" w:eastAsia="Times New Roman" w:cs="Times New Roman"/>
          <w:spacing w:val="-47"/>
          <w:position w:val="24"/>
        </w:rPr>
        <w:t xml:space="preserve"> </w:t>
      </w:r>
      <w:r>
        <w:rPr>
          <w:spacing w:val="4"/>
          <w:position w:val="24"/>
        </w:rPr>
        <w:t>支持</w:t>
      </w:r>
    </w:p>
    <w:p>
      <w:pPr>
        <w:pStyle w:val="BodyText"/>
        <w:ind w:left="127"/>
        <w:spacing w:before="1" w:line="215" w:lineRule="auto"/>
        <w:rPr/>
      </w:pPr>
      <w:r>
        <w:rPr>
          <w:spacing w:val="-3"/>
        </w:rPr>
        <w:t>性文件清单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。</w:t>
      </w:r>
    </w:p>
    <w:p>
      <w:pPr>
        <w:pStyle w:val="BodyText"/>
        <w:ind w:left="118"/>
        <w:spacing w:before="260" w:line="217" w:lineRule="auto"/>
        <w:outlineLvl w:val="1"/>
        <w:rPr>
          <w:sz w:val="30"/>
          <w:szCs w:val="30"/>
        </w:rPr>
      </w:pPr>
      <w:bookmarkStart w:name="bookmark39" w:id="13"/>
      <w:bookmarkEnd w:id="13"/>
      <w:bookmarkStart w:name="bookmark8" w:id="14"/>
      <w:bookmarkEnd w:id="14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4"/>
        </w:rPr>
        <w:t>2.3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 xml:space="preserve">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现场核查</w:t>
      </w:r>
    </w:p>
    <w:p>
      <w:pPr>
        <w:pStyle w:val="BodyText"/>
        <w:ind w:left="130" w:right="287" w:firstLine="551"/>
        <w:spacing w:before="246" w:line="391" w:lineRule="auto"/>
        <w:rPr/>
      </w:pPr>
      <w:r>
        <w:rPr>
          <w:spacing w:val="-1"/>
        </w:rPr>
        <w:t>核查组于</w:t>
      </w:r>
      <w:r>
        <w:rPr>
          <w:rFonts w:ascii="Times New Roman" w:hAnsi="Times New Roman" w:eastAsia="Times New Roman" w:cs="Times New Roman"/>
          <w:spacing w:val="-1"/>
        </w:rPr>
        <w:t>2026 </w:t>
      </w:r>
      <w:r>
        <w:rPr>
          <w:spacing w:val="-1"/>
        </w:rPr>
        <w:t>年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 </w:t>
      </w:r>
      <w:r>
        <w:rPr>
          <w:spacing w:val="-1"/>
        </w:rPr>
        <w:t>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"/>
        </w:rPr>
        <w:t>日对受核查方温室气</w:t>
      </w:r>
      <w:r>
        <w:rPr>
          <w:spacing w:val="-2"/>
        </w:rPr>
        <w:t>体排放情况进行了</w:t>
      </w:r>
      <w:r>
        <w:rPr/>
        <w:t xml:space="preserve"> </w:t>
      </w:r>
      <w:r>
        <w:rPr>
          <w:spacing w:val="-1"/>
        </w:rPr>
        <w:t>现场核查。现场核查通过相关人员的访问、现场设施的抽样勘查、</w:t>
      </w:r>
      <w:r>
        <w:rPr>
          <w:spacing w:val="12"/>
        </w:rPr>
        <w:t xml:space="preserve"> </w:t>
      </w:r>
      <w:r>
        <w:rPr>
          <w:spacing w:val="-1"/>
        </w:rPr>
        <w:t>资料查阅、人员访谈等多种方式进行。现场主要访谈对象、部门及</w:t>
      </w:r>
    </w:p>
    <w:p>
      <w:pPr>
        <w:pStyle w:val="BodyText"/>
        <w:ind w:left="128"/>
        <w:spacing w:before="1" w:line="217" w:lineRule="auto"/>
        <w:rPr/>
      </w:pPr>
      <w:r>
        <w:rPr>
          <w:spacing w:val="-2"/>
        </w:rPr>
        <w:t>访谈内容如下表所示。</w:t>
      </w:r>
    </w:p>
    <w:p>
      <w:pPr>
        <w:pStyle w:val="BodyText"/>
        <w:ind w:left="2695"/>
        <w:spacing w:before="260" w:line="218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2-2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现场访问内容表</w:t>
      </w:r>
    </w:p>
    <w:p>
      <w:pPr>
        <w:spacing w:line="107" w:lineRule="exact"/>
        <w:rPr/>
      </w:pPr>
      <w:r/>
    </w:p>
    <w:tbl>
      <w:tblPr>
        <w:tblStyle w:val="TableNormal"/>
        <w:tblW w:w="85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248"/>
        <w:gridCol w:w="5100"/>
      </w:tblGrid>
      <w:tr>
        <w:trPr>
          <w:trHeight w:val="406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373"/>
              <w:spacing w:before="84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6"/>
              </w:rPr>
              <w:t>时间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614"/>
              <w:spacing w:before="85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部门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/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职位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2080"/>
              <w:spacing w:before="84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访谈内容</w:t>
            </w:r>
          </w:p>
        </w:tc>
      </w:tr>
      <w:tr>
        <w:trPr>
          <w:trHeight w:val="1584" w:hRule="atLeast"/>
        </w:trPr>
        <w:tc>
          <w:tcPr>
            <w:tcW w:w="116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1" w:firstLine="55"/>
              <w:spacing w:before="78" w:line="26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23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4"/>
              </w:rPr>
              <w:t xml:space="preserve"> </w:t>
            </w:r>
            <w:r>
              <w:rPr>
                <w:spacing w:val="-23"/>
              </w:rPr>
              <w:t>日</w:t>
            </w:r>
          </w:p>
        </w:tc>
        <w:tc>
          <w:tcPr>
            <w:tcW w:w="224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1"/>
              <w:spacing w:before="78" w:line="219" w:lineRule="auto"/>
              <w:rPr/>
            </w:pPr>
            <w:r>
              <w:rPr>
                <w:spacing w:val="-8"/>
              </w:rPr>
              <w:t>副总经理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18" w:right="106" w:firstLine="16"/>
              <w:spacing w:before="77" w:line="275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了解企业基本情况、管理架构、生产工艺、</w:t>
            </w:r>
            <w:r>
              <w:rPr/>
              <w:t xml:space="preserve"> </w:t>
            </w:r>
            <w:r>
              <w:rPr>
                <w:spacing w:val="3"/>
              </w:rPr>
              <w:t>生产运行情况，识别排放源和排放设施，确定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企业层级和补充数据表的核算边界；</w:t>
            </w:r>
          </w:p>
          <w:p>
            <w:pPr>
              <w:pStyle w:val="TableText"/>
              <w:ind w:left="111"/>
              <w:spacing w:before="115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了解企业排放报告管理制度的建立情况。</w:t>
            </w:r>
          </w:p>
        </w:tc>
      </w:tr>
      <w:tr>
        <w:trPr>
          <w:trHeight w:val="1978" w:hRule="atLeast"/>
        </w:trPr>
        <w:tc>
          <w:tcPr>
            <w:tcW w:w="11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256" w:right="250" w:firstLine="15"/>
              <w:spacing w:before="277" w:line="282" w:lineRule="auto"/>
              <w:jc w:val="both"/>
              <w:rPr/>
            </w:pPr>
            <w:r>
              <w:rPr>
                <w:spacing w:val="-4"/>
              </w:rPr>
              <w:t>生产安装部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主管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人力资源部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主管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行政事务部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主管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技术中心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副主任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21" w:right="106" w:firstLine="12"/>
              <w:spacing w:before="80" w:line="27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）了解企业层级和补充数据表涉及的活动水平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数据、相关参数和生产数据的监测、记录和统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计等数据流管理过程，获取相关监测记录；</w:t>
            </w:r>
          </w:p>
          <w:p>
            <w:pPr>
              <w:pStyle w:val="TableText"/>
              <w:ind w:left="115" w:right="106" w:hanging="4"/>
              <w:spacing w:before="112" w:line="26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）对排放报告和监测计划中的相关数据和信息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进行核查。</w:t>
            </w:r>
          </w:p>
        </w:tc>
      </w:tr>
      <w:tr>
        <w:trPr>
          <w:trHeight w:val="1189" w:hRule="atLeast"/>
        </w:trPr>
        <w:tc>
          <w:tcPr>
            <w:tcW w:w="11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1"/>
              <w:spacing w:before="78" w:line="217" w:lineRule="auto"/>
              <w:rPr/>
            </w:pPr>
            <w:r>
              <w:rPr>
                <w:spacing w:val="-4"/>
              </w:rPr>
              <w:t>管理部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16" w:right="106" w:firstLine="4"/>
              <w:spacing w:before="83" w:line="277" w:lineRule="auto"/>
              <w:jc w:val="both"/>
              <w:rPr/>
            </w:pPr>
            <w:r>
              <w:rPr>
                <w:spacing w:val="3"/>
              </w:rPr>
              <w:t>对企业层级和补充数据表涉及的碳排放和生产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数据相关的财务统计报表和结算凭证，进行核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查。</w:t>
            </w:r>
          </w:p>
        </w:tc>
      </w:tr>
      <w:tr>
        <w:trPr>
          <w:trHeight w:val="799" w:hRule="atLeast"/>
        </w:trPr>
        <w:tc>
          <w:tcPr>
            <w:tcW w:w="11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45"/>
              <w:spacing w:before="281" w:line="217" w:lineRule="auto"/>
              <w:rPr/>
            </w:pPr>
            <w:r>
              <w:rPr>
                <w:spacing w:val="-5"/>
              </w:rPr>
              <w:t>生产安装部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16" w:right="106" w:firstLine="4"/>
              <w:spacing w:before="84" w:line="259" w:lineRule="auto"/>
              <w:rPr/>
            </w:pPr>
            <w:r>
              <w:rPr/>
              <w:t>对排放设施和监测设备的安装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/>
              <w:t>校验情况进行核</w:t>
            </w:r>
            <w:r>
              <w:rPr/>
              <w:t xml:space="preserve"> </w:t>
            </w:r>
            <w:r>
              <w:rPr>
                <w:spacing w:val="-1"/>
              </w:rPr>
              <w:t>查，现场查看排放设施、计量和检测设备。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footerReference w:type="default" r:id="rId17"/>
          <w:pgSz w:w="11906" w:h="16839"/>
          <w:pgMar w:top="1172" w:right="1692" w:bottom="1566" w:left="1691" w:header="902" w:footer="14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623"/>
        <w:spacing w:before="98" w:line="217" w:lineRule="auto"/>
        <w:outlineLvl w:val="1"/>
        <w:rPr>
          <w:sz w:val="30"/>
          <w:szCs w:val="30"/>
        </w:rPr>
      </w:pPr>
      <w:bookmarkStart w:name="bookmark40" w:id="15"/>
      <w:bookmarkEnd w:id="15"/>
      <w:bookmarkStart w:name="bookmark9" w:id="16"/>
      <w:bookmarkEnd w:id="16"/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2.4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核查报告编写及内部技术复核</w:t>
      </w:r>
    </w:p>
    <w:p>
      <w:pPr>
        <w:pStyle w:val="BodyText"/>
        <w:ind w:left="28" w:right="193" w:firstLine="555"/>
        <w:spacing w:before="245" w:line="391" w:lineRule="auto"/>
        <w:jc w:val="both"/>
        <w:rPr/>
      </w:pPr>
      <w:r>
        <w:rPr/>
        <w:t>依据上述核查准则，核查组在文件审核和现场核查</w:t>
      </w:r>
      <w:r>
        <w:rPr>
          <w:spacing w:val="-1"/>
        </w:rPr>
        <w:t>过程中，向</w:t>
      </w:r>
      <w:r>
        <w:rPr/>
        <w:t xml:space="preserve"> </w:t>
      </w:r>
      <w:r>
        <w:rPr>
          <w:spacing w:val="-2"/>
        </w:rPr>
        <w:t>受核查方开具了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 </w:t>
      </w:r>
      <w:r>
        <w:rPr>
          <w:spacing w:val="-2"/>
        </w:rPr>
        <w:t>个不符合项。在不符合项全部关闭后，核查组完</w:t>
      </w:r>
      <w:r>
        <w:rPr/>
        <w:t xml:space="preserve"> </w:t>
      </w:r>
      <w:r>
        <w:rPr>
          <w:spacing w:val="-1"/>
        </w:rPr>
        <w:t>成了核查报告初稿。根据吉碳众远（上海）环境科技有限公司内部</w:t>
      </w:r>
      <w:r>
        <w:rPr>
          <w:spacing w:val="17"/>
        </w:rPr>
        <w:t xml:space="preserve"> </w:t>
      </w:r>
      <w:r>
        <w:rPr>
          <w:spacing w:val="-1"/>
        </w:rPr>
        <w:t>管理程序，核查报告在提交给受核查方和委托方前，经过了吉碳众</w:t>
      </w:r>
      <w:r>
        <w:rPr>
          <w:spacing w:val="17"/>
        </w:rPr>
        <w:t xml:space="preserve"> </w:t>
      </w:r>
      <w:r>
        <w:rPr>
          <w:spacing w:val="-1"/>
        </w:rPr>
        <w:t>远（上海）环境科技有限公司内部独立于核查组的技术评审，核查</w:t>
      </w:r>
      <w:r>
        <w:rPr>
          <w:spacing w:val="17"/>
        </w:rPr>
        <w:t xml:space="preserve"> </w:t>
      </w:r>
      <w:r>
        <w:rPr>
          <w:spacing w:val="-8"/>
        </w:rPr>
        <w:t>报告终稿于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2026 </w:t>
      </w:r>
      <w:r>
        <w:rPr>
          <w:spacing w:val="-8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8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  </w:t>
      </w:r>
      <w:r>
        <w:rPr>
          <w:spacing w:val="-8"/>
        </w:rPr>
        <w:t>日完成。本次核查的技术评审组如下表所</w:t>
      </w:r>
    </w:p>
    <w:p>
      <w:pPr>
        <w:pStyle w:val="BodyText"/>
        <w:ind w:left="45"/>
        <w:spacing w:before="1" w:line="220" w:lineRule="auto"/>
        <w:rPr/>
      </w:pPr>
      <w:r>
        <w:rPr>
          <w:spacing w:val="-14"/>
        </w:rPr>
        <w:t>示。</w:t>
      </w:r>
    </w:p>
    <w:p>
      <w:pPr>
        <w:pStyle w:val="BodyText"/>
        <w:ind w:left="2458"/>
        <w:spacing w:before="257" w:line="218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2-3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技术复核组成员表</w:t>
      </w:r>
    </w:p>
    <w:p>
      <w:pPr>
        <w:spacing w:line="105" w:lineRule="exact"/>
        <w:rPr/>
      </w:pPr>
      <w:r/>
    </w:p>
    <w:tbl>
      <w:tblPr>
        <w:tblStyle w:val="TableNormal"/>
        <w:tblW w:w="8315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1502"/>
        <w:gridCol w:w="1419"/>
        <w:gridCol w:w="4679"/>
      </w:tblGrid>
      <w:tr>
        <w:trPr>
          <w:trHeight w:val="404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20"/>
              <w:spacing w:before="83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序号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13"/>
              <w:spacing w:before="83" w:line="219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姓名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86"/>
              <w:spacing w:before="83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0"/>
              </w:rPr>
              <w:t>职务</w:t>
            </w:r>
          </w:p>
        </w:tc>
        <w:tc>
          <w:tcPr>
            <w:tcW w:w="4679" w:type="dxa"/>
            <w:vAlign w:val="top"/>
          </w:tcPr>
          <w:p>
            <w:pPr>
              <w:pStyle w:val="TableText"/>
              <w:ind w:left="1379"/>
              <w:spacing w:before="83" w:line="215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核查工作分工内容</w:t>
            </w:r>
          </w:p>
        </w:tc>
      </w:tr>
      <w:tr>
        <w:trPr>
          <w:trHeight w:val="404" w:hRule="atLeast"/>
        </w:trPr>
        <w:tc>
          <w:tcPr>
            <w:tcW w:w="715" w:type="dxa"/>
            <w:vAlign w:val="top"/>
          </w:tcPr>
          <w:p>
            <w:pPr>
              <w:ind w:left="323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19"/>
              <w:spacing w:before="82" w:line="217" w:lineRule="auto"/>
              <w:rPr/>
            </w:pPr>
            <w:r>
              <w:rPr>
                <w:spacing w:val="-7"/>
              </w:rPr>
              <w:t>倪宝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82" w:line="217" w:lineRule="auto"/>
              <w:rPr/>
            </w:pPr>
            <w:r>
              <w:rPr>
                <w:spacing w:val="-3"/>
              </w:rPr>
              <w:t>技术评审员</w:t>
            </w:r>
          </w:p>
        </w:tc>
        <w:tc>
          <w:tcPr>
            <w:tcW w:w="4679" w:type="dxa"/>
            <w:vAlign w:val="top"/>
          </w:tcPr>
          <w:p>
            <w:pPr>
              <w:pStyle w:val="TableText"/>
              <w:ind w:left="314"/>
              <w:spacing w:before="82" w:line="216" w:lineRule="auto"/>
              <w:rPr/>
            </w:pPr>
            <w:r>
              <w:rPr>
                <w:spacing w:val="-2"/>
              </w:rPr>
              <w:t>独立于核查组，对本核查进行技术评审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8"/>
          <w:pgSz w:w="11906" w:h="16839"/>
          <w:pgMar w:top="1172" w:right="1785" w:bottom="1569" w:left="1785" w:header="902" w:footer="14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662"/>
        <w:spacing w:before="100" w:line="222" w:lineRule="auto"/>
        <w:outlineLvl w:val="0"/>
        <w:rPr>
          <w:sz w:val="31"/>
          <w:szCs w:val="31"/>
        </w:rPr>
      </w:pPr>
      <w:bookmarkStart w:name="bookmark41" w:id="17"/>
      <w:bookmarkEnd w:id="17"/>
      <w:bookmarkStart w:name="bookmark10" w:id="18"/>
      <w:bookmarkEnd w:id="18"/>
      <w:bookmarkStart w:name="bookmark11" w:id="19"/>
      <w:bookmarkEnd w:id="19"/>
      <w:bookmarkStart w:name="bookmark12" w:id="20"/>
      <w:bookmarkEnd w:id="20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3    </w:t>
      </w:r>
      <w:r>
        <w:rPr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核查发现</w:t>
      </w:r>
    </w:p>
    <w:p>
      <w:pPr>
        <w:pStyle w:val="BodyText"/>
        <w:ind w:left="621"/>
        <w:spacing w:before="326" w:line="217" w:lineRule="auto"/>
        <w:outlineLvl w:val="1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3.1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基本情况的核查</w:t>
      </w:r>
    </w:p>
    <w:p>
      <w:pPr>
        <w:pStyle w:val="BodyText"/>
        <w:ind w:left="582"/>
        <w:spacing w:before="249" w:line="216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3.1.1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受核查方简介</w:t>
      </w:r>
    </w:p>
    <w:p>
      <w:pPr>
        <w:pStyle w:val="BodyText"/>
        <w:ind w:left="36" w:firstLine="568"/>
        <w:spacing w:before="264" w:line="391" w:lineRule="auto"/>
        <w:jc w:val="both"/>
        <w:rPr/>
      </w:pPr>
      <w:r>
        <w:rPr>
          <w:spacing w:val="-6"/>
        </w:rPr>
        <w:t>苏州琨山通用锁具有限公司成立于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2004 </w:t>
      </w:r>
      <w:r>
        <w:rPr>
          <w:spacing w:val="-6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6"/>
        </w:rPr>
        <w:t>月，是一家</w:t>
      </w:r>
      <w:r>
        <w:rPr>
          <w:spacing w:val="-7"/>
        </w:rPr>
        <w:t>专业从</w:t>
      </w:r>
      <w:r>
        <w:rPr/>
        <w:t xml:space="preserve"> </w:t>
      </w:r>
      <w:r>
        <w:rPr>
          <w:spacing w:val="-10"/>
        </w:rPr>
        <w:t>事智能锁具物联网平台开发、智能门锁、挂锁等各类锁具产品的研</w:t>
      </w:r>
      <w:r>
        <w:rPr>
          <w:spacing w:val="-11"/>
        </w:rPr>
        <w:t>发、</w:t>
      </w:r>
    </w:p>
    <w:p>
      <w:pPr>
        <w:pStyle w:val="BodyText"/>
        <w:ind w:left="45"/>
        <w:spacing w:line="216" w:lineRule="auto"/>
        <w:rPr/>
      </w:pPr>
      <w:r>
        <w:rPr>
          <w:spacing w:val="-2"/>
        </w:rPr>
        <w:t>生产与销售为一体的高科技民营企业。</w:t>
      </w:r>
    </w:p>
    <w:p>
      <w:pPr>
        <w:pStyle w:val="BodyText"/>
        <w:ind w:left="30" w:right="87" w:firstLine="557"/>
        <w:spacing w:before="262" w:line="391" w:lineRule="auto"/>
        <w:jc w:val="both"/>
        <w:rPr/>
      </w:pPr>
      <w:r>
        <w:rPr>
          <w:spacing w:val="-4"/>
        </w:rPr>
        <w:t>公司专注于生产各类智能锁、特色挂锁、共享单车锁等具有自主</w:t>
      </w:r>
      <w:r>
        <w:rPr>
          <w:spacing w:val="1"/>
        </w:rPr>
        <w:t xml:space="preserve"> </w:t>
      </w:r>
      <w:r>
        <w:rPr>
          <w:spacing w:val="-4"/>
        </w:rPr>
        <w:t>知识产权的锁具产品以及物联网平台开发，是目前国内传统锁具行业</w:t>
      </w:r>
      <w:r>
        <w:rPr>
          <w:spacing w:val="6"/>
        </w:rPr>
        <w:t xml:space="preserve"> </w:t>
      </w:r>
      <w:r>
        <w:rPr>
          <w:spacing w:val="-4"/>
        </w:rPr>
        <w:t>唯一一家从事物联平台开发、硬件设计制造、结构件设计制造的全流</w:t>
      </w:r>
    </w:p>
    <w:p>
      <w:pPr>
        <w:pStyle w:val="BodyText"/>
        <w:ind w:left="30"/>
        <w:spacing w:before="1" w:line="217" w:lineRule="auto"/>
        <w:rPr/>
      </w:pPr>
      <w:r>
        <w:rPr>
          <w:spacing w:val="-2"/>
        </w:rPr>
        <w:t>程专业化生产企业。</w:t>
      </w:r>
    </w:p>
    <w:p>
      <w:pPr>
        <w:pStyle w:val="BodyText"/>
        <w:ind w:left="20" w:firstLine="585"/>
        <w:spacing w:before="262" w:line="391" w:lineRule="auto"/>
        <w:jc w:val="both"/>
        <w:rPr/>
      </w:pPr>
      <w:r>
        <w:rPr>
          <w:spacing w:val="-11"/>
        </w:rPr>
        <w:t>生产各类锁具、汽车配件、摩托车配件、自行车配件、日</w:t>
      </w:r>
      <w:r>
        <w:rPr>
          <w:spacing w:val="-12"/>
        </w:rPr>
        <w:t>用五金、</w:t>
      </w:r>
      <w:r>
        <w:rPr/>
        <w:t xml:space="preserve"> </w:t>
      </w:r>
      <w:r>
        <w:rPr>
          <w:spacing w:val="-4"/>
        </w:rPr>
        <w:t>体育器材制造；销售自产产品：货物及技术的进出口业务。（依法须</w:t>
      </w:r>
    </w:p>
    <w:p>
      <w:pPr>
        <w:pStyle w:val="BodyText"/>
        <w:ind w:left="34"/>
        <w:spacing w:line="217" w:lineRule="auto"/>
        <w:rPr/>
      </w:pPr>
      <w:r>
        <w:rPr>
          <w:spacing w:val="-1"/>
        </w:rPr>
        <w:t>经批准的项目，经相关部门批准后方可开展经营活动）</w:t>
      </w:r>
    </w:p>
    <w:p>
      <w:pPr>
        <w:pStyle w:val="BodyText"/>
        <w:ind w:left="586"/>
        <w:spacing w:before="264" w:line="217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3-1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受核查方基本信息表</w:t>
      </w:r>
    </w:p>
    <w:p>
      <w:pPr>
        <w:spacing w:line="106" w:lineRule="exact"/>
        <w:rPr/>
      </w:pPr>
      <w:r/>
    </w:p>
    <w:tbl>
      <w:tblPr>
        <w:tblStyle w:val="TableNormal"/>
        <w:tblW w:w="8324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6"/>
        <w:gridCol w:w="3425"/>
        <w:gridCol w:w="1169"/>
        <w:gridCol w:w="2584"/>
      </w:tblGrid>
      <w:tr>
        <w:trPr>
          <w:trHeight w:val="819" w:hRule="atLeast"/>
        </w:trPr>
        <w:tc>
          <w:tcPr>
            <w:tcW w:w="1146" w:type="dxa"/>
            <w:vAlign w:val="top"/>
          </w:tcPr>
          <w:p>
            <w:pPr>
              <w:pStyle w:val="TableText"/>
              <w:ind w:left="174"/>
              <w:spacing w:before="30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受核查方</w:t>
            </w:r>
          </w:p>
        </w:tc>
        <w:tc>
          <w:tcPr>
            <w:tcW w:w="3425" w:type="dxa"/>
            <w:vAlign w:val="top"/>
          </w:tcPr>
          <w:p>
            <w:pPr>
              <w:pStyle w:val="TableText"/>
              <w:ind w:left="469"/>
              <w:spacing w:before="30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苏州琨山通用锁具有限公司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181"/>
              <w:spacing w:before="107" w:line="3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  <w:position w:val="14"/>
              </w:rPr>
              <w:t>统一社会</w:t>
            </w:r>
          </w:p>
          <w:p>
            <w:pPr>
              <w:pStyle w:val="TableText"/>
              <w:ind w:left="177"/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信用代码</w:t>
            </w:r>
          </w:p>
        </w:tc>
        <w:tc>
          <w:tcPr>
            <w:tcW w:w="258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91320583766515112P</w:t>
            </w:r>
          </w:p>
        </w:tc>
      </w:tr>
      <w:tr>
        <w:trPr>
          <w:trHeight w:val="421" w:hRule="atLeast"/>
        </w:trPr>
        <w:tc>
          <w:tcPr>
            <w:tcW w:w="1146" w:type="dxa"/>
            <w:vAlign w:val="top"/>
          </w:tcPr>
          <w:p>
            <w:pPr>
              <w:pStyle w:val="TableText"/>
              <w:ind w:left="65"/>
              <w:spacing w:before="10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法定代表人</w:t>
            </w:r>
          </w:p>
        </w:tc>
        <w:tc>
          <w:tcPr>
            <w:tcW w:w="3425" w:type="dxa"/>
            <w:vAlign w:val="top"/>
          </w:tcPr>
          <w:p>
            <w:pPr>
              <w:pStyle w:val="TableText"/>
              <w:ind w:left="1408"/>
              <w:spacing w:before="10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章林峰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181"/>
              <w:spacing w:before="10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单位性质</w:t>
            </w:r>
          </w:p>
        </w:tc>
        <w:tc>
          <w:tcPr>
            <w:tcW w:w="2584" w:type="dxa"/>
            <w:vAlign w:val="top"/>
          </w:tcPr>
          <w:p>
            <w:pPr>
              <w:pStyle w:val="TableText"/>
              <w:ind w:left="1118"/>
              <w:spacing w:before="10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2"/>
              </w:rPr>
              <w:t>民营</w:t>
            </w:r>
          </w:p>
        </w:tc>
      </w:tr>
      <w:tr>
        <w:trPr>
          <w:trHeight w:val="2393" w:hRule="atLeast"/>
        </w:trPr>
        <w:tc>
          <w:tcPr>
            <w:tcW w:w="11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经营范围</w:t>
            </w:r>
          </w:p>
        </w:tc>
        <w:tc>
          <w:tcPr>
            <w:tcW w:w="3425" w:type="dxa"/>
            <w:vAlign w:val="top"/>
          </w:tcPr>
          <w:p>
            <w:pPr>
              <w:ind w:left="36" w:right="32" w:firstLine="8"/>
              <w:spacing w:before="104" w:line="364" w:lineRule="auto"/>
              <w:jc w:val="both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8"/>
              </w:rPr>
              <w:t>生产各类锁具、汽车配件、摩托车配</w:t>
            </w:r>
            <w:r>
              <w:rPr>
                <w:rFonts w:ascii="KaiTi" w:hAnsi="KaiTi" w:eastAsia="KaiTi" w:cs="KaiTi"/>
                <w:sz w:val="20"/>
                <w:szCs w:val="20"/>
                <w:spacing w:val="1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件、</w:t>
            </w:r>
            <w:r>
              <w:rPr>
                <w:rFonts w:ascii="KaiTi" w:hAnsi="KaiTi" w:eastAsia="KaiTi" w:cs="KaiTi"/>
                <w:sz w:val="20"/>
                <w:szCs w:val="20"/>
                <w:spacing w:val="-27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自行车配件、</w:t>
            </w:r>
            <w:r>
              <w:rPr>
                <w:rFonts w:ascii="KaiTi" w:hAnsi="KaiTi" w:eastAsia="KaiTi" w:cs="KaiTi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日用五金、体育器</w:t>
            </w:r>
            <w:r>
              <w:rPr>
                <w:rFonts w:ascii="KaiTi" w:hAnsi="KaiTi" w:eastAsia="KaiTi" w:cs="KaiTi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9"/>
              </w:rPr>
              <w:t>材制造；销售自产产品：货物及技术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9"/>
              </w:rPr>
              <w:t>的进出口业务。（依法须经批准的项</w:t>
            </w:r>
          </w:p>
          <w:p>
            <w:pPr>
              <w:ind w:left="83"/>
              <w:spacing w:line="228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目，经相关部门批准后方可开展经营</w:t>
            </w:r>
          </w:p>
          <w:p>
            <w:pPr>
              <w:ind w:left="1418"/>
              <w:spacing w:before="148" w:line="263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3"/>
                <w:position w:val="1"/>
              </w:rPr>
              <w:t>活动）</w:t>
            </w:r>
          </w:p>
        </w:tc>
        <w:tc>
          <w:tcPr>
            <w:tcW w:w="11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成立时间</w:t>
            </w:r>
          </w:p>
        </w:tc>
        <w:tc>
          <w:tcPr>
            <w:tcW w:w="25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65" w:line="231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2004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5"/>
                <w:w w:val="10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年</w:t>
            </w:r>
            <w:r>
              <w:rPr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5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月</w:t>
            </w:r>
            <w:r>
              <w:rPr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20  </w:t>
            </w:r>
            <w:r>
              <w:rPr>
                <w:sz w:val="20"/>
                <w:szCs w:val="20"/>
                <w:spacing w:val="-1"/>
              </w:rPr>
              <w:t>日</w:t>
            </w:r>
          </w:p>
        </w:tc>
      </w:tr>
      <w:tr>
        <w:trPr>
          <w:trHeight w:val="422" w:hRule="atLeast"/>
        </w:trPr>
        <w:tc>
          <w:tcPr>
            <w:tcW w:w="1146" w:type="dxa"/>
            <w:vAlign w:val="top"/>
          </w:tcPr>
          <w:p>
            <w:pPr>
              <w:pStyle w:val="TableText"/>
              <w:ind w:left="165"/>
              <w:spacing w:before="10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所属行业</w:t>
            </w:r>
          </w:p>
        </w:tc>
        <w:tc>
          <w:tcPr>
            <w:tcW w:w="7178" w:type="dxa"/>
            <w:vAlign w:val="top"/>
            <w:gridSpan w:val="3"/>
          </w:tcPr>
          <w:p>
            <w:pPr>
              <w:pStyle w:val="TableText"/>
              <w:ind w:left="2017"/>
              <w:spacing w:before="107" w:line="23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C3351-</w:t>
            </w:r>
            <w:r>
              <w:rPr>
                <w:sz w:val="20"/>
                <w:szCs w:val="20"/>
                <w:spacing w:val="7"/>
              </w:rPr>
              <w:t>建筑、家具用金属配件制造</w:t>
            </w:r>
          </w:p>
        </w:tc>
      </w:tr>
      <w:tr>
        <w:trPr>
          <w:trHeight w:val="421" w:hRule="atLeast"/>
        </w:trPr>
        <w:tc>
          <w:tcPr>
            <w:tcW w:w="1146" w:type="dxa"/>
            <w:vAlign w:val="top"/>
          </w:tcPr>
          <w:p>
            <w:pPr>
              <w:pStyle w:val="TableText"/>
              <w:ind w:left="170"/>
              <w:spacing w:before="10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注册地址</w:t>
            </w:r>
          </w:p>
        </w:tc>
        <w:tc>
          <w:tcPr>
            <w:tcW w:w="7178" w:type="dxa"/>
            <w:vAlign w:val="top"/>
            <w:gridSpan w:val="3"/>
          </w:tcPr>
          <w:p>
            <w:pPr>
              <w:pStyle w:val="TableText"/>
              <w:ind w:left="1927"/>
              <w:spacing w:before="10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江苏省昆山市淀山湖镇淀兴路</w:t>
            </w:r>
            <w:r>
              <w:rPr>
                <w:sz w:val="20"/>
                <w:szCs w:val="20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118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号</w:t>
            </w:r>
          </w:p>
        </w:tc>
      </w:tr>
      <w:tr>
        <w:trPr>
          <w:trHeight w:val="422" w:hRule="atLeast"/>
        </w:trPr>
        <w:tc>
          <w:tcPr>
            <w:tcW w:w="1146" w:type="dxa"/>
            <w:vAlign w:val="top"/>
          </w:tcPr>
          <w:p>
            <w:pPr>
              <w:pStyle w:val="TableText"/>
              <w:ind w:left="164"/>
              <w:spacing w:before="106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经营地址</w:t>
            </w:r>
          </w:p>
        </w:tc>
        <w:tc>
          <w:tcPr>
            <w:tcW w:w="7178" w:type="dxa"/>
            <w:vAlign w:val="top"/>
            <w:gridSpan w:val="3"/>
          </w:tcPr>
          <w:p>
            <w:pPr>
              <w:pStyle w:val="TableText"/>
              <w:ind w:left="1927"/>
              <w:spacing w:before="10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江苏省昆山市淀山湖镇淀兴路</w:t>
            </w:r>
            <w:r>
              <w:rPr>
                <w:sz w:val="20"/>
                <w:szCs w:val="20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118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号</w:t>
            </w:r>
          </w:p>
        </w:tc>
      </w:tr>
      <w:tr>
        <w:trPr>
          <w:trHeight w:val="426" w:hRule="atLeast"/>
        </w:trPr>
        <w:tc>
          <w:tcPr>
            <w:tcW w:w="1146" w:type="dxa"/>
            <w:vAlign w:val="top"/>
          </w:tcPr>
          <w:p>
            <w:pPr>
              <w:pStyle w:val="TableText"/>
              <w:ind w:left="168"/>
              <w:spacing w:before="106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通讯地址</w:t>
            </w:r>
          </w:p>
        </w:tc>
        <w:tc>
          <w:tcPr>
            <w:tcW w:w="3425" w:type="dxa"/>
            <w:vAlign w:val="top"/>
          </w:tcPr>
          <w:p>
            <w:pPr>
              <w:pStyle w:val="TableText"/>
              <w:ind w:left="50"/>
              <w:spacing w:before="10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江苏省昆山市淀山湖镇淀兴路</w:t>
            </w:r>
            <w:r>
              <w:rPr>
                <w:sz w:val="20"/>
                <w:szCs w:val="20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118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号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402"/>
              <w:spacing w:before="10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邮箱</w:t>
            </w:r>
          </w:p>
        </w:tc>
        <w:tc>
          <w:tcPr>
            <w:tcW w:w="2584" w:type="dxa"/>
            <w:vAlign w:val="top"/>
          </w:tcPr>
          <w:p>
            <w:pPr>
              <w:ind w:left="13"/>
              <w:spacing w:before="138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w:history="true" r:id="rId21">
              <w:r>
                <w:rPr>
                  <w:rFonts w:ascii="Times New Roman" w:hAnsi="Times New Roman" w:eastAsia="Times New Roman" w:cs="Times New Roman"/>
                  <w:sz w:val="20"/>
                  <w:szCs w:val="20"/>
                  <w:spacing w:val="4"/>
                </w:rPr>
                <w:t>gl@kunshanlock.com</w:t>
              </w:r>
            </w:hyperlink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1906" w:h="16839"/>
          <w:pgMar w:top="1172" w:right="1714" w:bottom="1242" w:left="1785" w:header="902" w:footer="108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589"/>
        <w:spacing w:before="91" w:line="216" w:lineRule="auto"/>
        <w:rPr/>
      </w:pPr>
      <w:r>
        <w:rPr>
          <w:spacing w:val="-1"/>
        </w:rPr>
        <w:t>其中，温室气体核算和报告工作由管理部负责。</w:t>
      </w:r>
    </w:p>
    <w:p>
      <w:pPr>
        <w:pStyle w:val="BodyText"/>
        <w:ind w:left="582"/>
        <w:spacing w:before="265" w:line="217" w:lineRule="auto"/>
        <w:outlineLvl w:val="2"/>
        <w:rPr/>
      </w:pPr>
      <w:bookmarkStart w:name="bookmark42" w:id="21"/>
      <w:bookmarkEnd w:id="21"/>
      <w:bookmarkStart w:name="bookmark13" w:id="22"/>
      <w:bookmarkEnd w:id="22"/>
      <w:r>
        <w:rPr>
          <w:rFonts w:ascii="Times New Roman" w:hAnsi="Times New Roman" w:eastAsia="Times New Roman" w:cs="Times New Roman"/>
          <w:b/>
          <w:bCs/>
        </w:rPr>
        <w:t>3.1.2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能源管理现状及监测设备管理情况</w:t>
      </w:r>
    </w:p>
    <w:p>
      <w:pPr>
        <w:pStyle w:val="BodyText"/>
        <w:ind w:right="15"/>
        <w:spacing w:before="263" w:line="590" w:lineRule="exact"/>
        <w:jc w:val="right"/>
        <w:rPr/>
      </w:pPr>
      <w:r>
        <w:rPr>
          <w:spacing w:val="-4"/>
          <w:position w:val="23"/>
        </w:rPr>
        <w:t>通过文件评审以及对受核查方管理人员进行现场</w:t>
      </w:r>
      <w:r>
        <w:rPr>
          <w:spacing w:val="-5"/>
          <w:position w:val="23"/>
        </w:rPr>
        <w:t>访谈，核查组确</w:t>
      </w:r>
    </w:p>
    <w:p>
      <w:pPr>
        <w:pStyle w:val="BodyText"/>
        <w:ind w:left="30"/>
        <w:spacing w:line="217" w:lineRule="auto"/>
        <w:rPr/>
      </w:pPr>
      <w:r>
        <w:rPr>
          <w:spacing w:val="-1"/>
        </w:rPr>
        <w:t>认受核查方的能源管理现状及监测设备管理情况如下：</w:t>
      </w:r>
    </w:p>
    <w:p>
      <w:pPr>
        <w:pStyle w:val="BodyText"/>
        <w:ind w:left="596"/>
        <w:spacing w:before="264" w:line="217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1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）能源管理部门</w:t>
      </w:r>
    </w:p>
    <w:p>
      <w:pPr>
        <w:pStyle w:val="BodyText"/>
        <w:ind w:left="595"/>
        <w:spacing w:before="263" w:line="217" w:lineRule="auto"/>
        <w:rPr/>
      </w:pPr>
      <w:r>
        <w:rPr>
          <w:spacing w:val="-1"/>
        </w:rPr>
        <w:t>经核查，受核查方公司能源管理由管理部负责。</w:t>
      </w:r>
    </w:p>
    <w:p>
      <w:pPr>
        <w:pStyle w:val="BodyText"/>
        <w:ind w:left="584"/>
        <w:spacing w:before="264" w:line="216" w:lineRule="auto"/>
        <w:rPr/>
      </w:pPr>
      <w:r>
        <w:rPr>
          <w:rFonts w:ascii="Times New Roman" w:hAnsi="Times New Roman" w:eastAsia="Times New Roman" w:cs="Times New Roman"/>
          <w:b/>
          <w:bCs/>
        </w:rPr>
        <w:t>2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）主要能源消耗品种和能源统计报告情况</w:t>
      </w:r>
    </w:p>
    <w:p>
      <w:pPr>
        <w:pStyle w:val="BodyText"/>
        <w:ind w:left="60" w:right="15" w:firstLine="540"/>
        <w:spacing w:before="265" w:line="391" w:lineRule="auto"/>
        <w:jc w:val="both"/>
        <w:rPr/>
      </w:pPr>
      <w:r>
        <w:rPr>
          <w:spacing w:val="-5"/>
        </w:rPr>
        <w:t>受核查方每月汇总能源品种及消耗量，经查阅受核查方能源统计</w:t>
      </w:r>
      <w:r>
        <w:rPr>
          <w:spacing w:val="16"/>
        </w:rPr>
        <w:t xml:space="preserve"> </w:t>
      </w:r>
      <w:r>
        <w:rPr>
          <w:spacing w:val="-1"/>
        </w:rPr>
        <w:t>台账，核查组确认受核查方在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2025 </w:t>
      </w:r>
      <w:r>
        <w:rPr>
          <w:spacing w:val="-1"/>
        </w:rPr>
        <w:t>年度的主要能源消耗品种为外购</w:t>
      </w:r>
    </w:p>
    <w:p>
      <w:pPr>
        <w:pStyle w:val="BodyText"/>
        <w:ind w:left="60"/>
        <w:spacing w:line="219" w:lineRule="auto"/>
        <w:rPr/>
      </w:pPr>
      <w:r>
        <w:rPr>
          <w:spacing w:val="-8"/>
        </w:rPr>
        <w:t>电力、汽油。</w:t>
      </w:r>
    </w:p>
    <w:p>
      <w:pPr>
        <w:pStyle w:val="BodyText"/>
        <w:ind w:left="582"/>
        <w:spacing w:before="260" w:line="218" w:lineRule="auto"/>
        <w:outlineLvl w:val="2"/>
        <w:rPr/>
      </w:pPr>
      <w:bookmarkStart w:name="bookmark43" w:id="23"/>
      <w:bookmarkEnd w:id="23"/>
      <w:bookmarkStart w:name="bookmark14" w:id="24"/>
      <w:bookmarkEnd w:id="24"/>
      <w:r>
        <w:rPr>
          <w:rFonts w:ascii="Times New Roman" w:hAnsi="Times New Roman" w:eastAsia="Times New Roman" w:cs="Times New Roman"/>
          <w:b/>
          <w:bCs/>
          <w:spacing w:val="-2"/>
        </w:rPr>
        <w:t>3.1.3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受核查方产品</w:t>
      </w:r>
    </w:p>
    <w:p>
      <w:pPr>
        <w:pStyle w:val="BodyText"/>
        <w:ind w:left="589"/>
        <w:spacing w:before="261" w:line="216" w:lineRule="auto"/>
        <w:rPr/>
      </w:pPr>
      <w:r>
        <w:rPr>
          <w:spacing w:val="-1"/>
        </w:rPr>
        <w:t>产品名称：钥匙盒锁、铝挂锁、智能锁</w:t>
      </w:r>
    </w:p>
    <w:p>
      <w:pPr>
        <w:pStyle w:val="BodyText"/>
        <w:ind w:left="621"/>
        <w:spacing w:before="258" w:line="216" w:lineRule="auto"/>
        <w:outlineLvl w:val="1"/>
        <w:rPr>
          <w:sz w:val="30"/>
          <w:szCs w:val="30"/>
        </w:rPr>
      </w:pPr>
      <w:bookmarkStart w:name="bookmark44" w:id="25"/>
      <w:bookmarkEnd w:id="25"/>
      <w:bookmarkStart w:name="bookmark15" w:id="26"/>
      <w:bookmarkEnd w:id="26"/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3.2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核算边界的核查</w:t>
      </w:r>
    </w:p>
    <w:p>
      <w:pPr>
        <w:pStyle w:val="BodyText"/>
        <w:ind w:left="28" w:right="15" w:firstLine="567"/>
        <w:spacing w:before="247" w:line="391" w:lineRule="auto"/>
        <w:jc w:val="both"/>
        <w:rPr/>
      </w:pPr>
      <w:r>
        <w:rPr>
          <w:spacing w:val="-4"/>
        </w:rPr>
        <w:t>通过查阅受核查方公司简介、组织机构图以及现</w:t>
      </w:r>
      <w:r>
        <w:rPr>
          <w:spacing w:val="-5"/>
        </w:rPr>
        <w:t>场访谈，核查组</w:t>
      </w:r>
      <w:r>
        <w:rPr/>
        <w:t xml:space="preserve"> </w:t>
      </w:r>
      <w:r>
        <w:rPr>
          <w:spacing w:val="-4"/>
        </w:rPr>
        <w:t>确认：在江苏省行政辖区范围内，受核查方只有一个生产厂区，位于</w:t>
      </w:r>
      <w:r>
        <w:rPr>
          <w:spacing w:val="8"/>
        </w:rPr>
        <w:t xml:space="preserve"> </w:t>
      </w:r>
      <w:r>
        <w:rPr>
          <w:spacing w:val="1"/>
        </w:rPr>
        <w:t>江苏省昆山市。受核查方没有其他分支机构。</w:t>
      </w:r>
      <w:r>
        <w:rPr/>
        <w:t>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2025 </w:t>
      </w:r>
      <w:r>
        <w:rPr/>
        <w:t>年期间，不涉</w:t>
      </w:r>
    </w:p>
    <w:p>
      <w:pPr>
        <w:pStyle w:val="BodyText"/>
        <w:ind w:left="24"/>
        <w:spacing w:before="1" w:line="215" w:lineRule="auto"/>
        <w:rPr/>
      </w:pPr>
      <w:r>
        <w:rPr/>
        <w:t>及合并、分立和地理边界变化等情况，与历史核</w:t>
      </w:r>
      <w:r>
        <w:rPr>
          <w:spacing w:val="-1"/>
        </w:rPr>
        <w:t>查报告边界一致。</w:t>
      </w:r>
    </w:p>
    <w:p>
      <w:pPr>
        <w:pStyle w:val="BodyText"/>
        <w:ind w:left="27" w:right="15" w:firstLine="560"/>
        <w:spacing w:before="268" w:line="390" w:lineRule="auto"/>
        <w:jc w:val="both"/>
        <w:rPr/>
      </w:pPr>
      <w:r>
        <w:rPr>
          <w:spacing w:val="-4"/>
        </w:rPr>
        <w:t>核查组对受核查方的生产厂区进行了现场核查。受核查方只有一</w:t>
      </w:r>
      <w:r>
        <w:rPr>
          <w:spacing w:val="1"/>
        </w:rPr>
        <w:t xml:space="preserve"> </w:t>
      </w:r>
      <w:r>
        <w:rPr>
          <w:spacing w:val="-4"/>
        </w:rPr>
        <w:t>个厂区，不涉及现场抽样。通过现场勘察、文件评审和现场访谈，核</w:t>
      </w:r>
      <w:r>
        <w:rPr>
          <w:spacing w:val="9"/>
        </w:rPr>
        <w:t xml:space="preserve"> </w:t>
      </w:r>
      <w:r>
        <w:rPr>
          <w:spacing w:val="6"/>
        </w:rPr>
        <w:t>查组确认排放报告中完整识别了受核查方企业法人边界</w:t>
      </w:r>
      <w:r>
        <w:rPr>
          <w:spacing w:val="5"/>
        </w:rPr>
        <w:t>范围内的排</w:t>
      </w:r>
    </w:p>
    <w:p>
      <w:pPr>
        <w:pStyle w:val="BodyText"/>
        <w:ind w:left="28"/>
        <w:spacing w:line="217" w:lineRule="auto"/>
        <w:rPr/>
      </w:pPr>
      <w:r>
        <w:rPr>
          <w:spacing w:val="-1"/>
        </w:rPr>
        <w:t>放源和排放设施，且与上一年度相比，均没有变化。</w:t>
      </w:r>
    </w:p>
    <w:p>
      <w:pPr>
        <w:spacing w:line="217" w:lineRule="auto"/>
        <w:sectPr>
          <w:headerReference w:type="default" r:id="rId10"/>
          <w:footerReference w:type="default" r:id="rId22"/>
          <w:pgSz w:w="11906" w:h="16839"/>
          <w:pgMar w:top="1172" w:right="1785" w:bottom="1245" w:left="1785" w:header="902" w:footer="1083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2504"/>
        <w:spacing w:before="91" w:line="217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3-2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经核查的排放源信息</w:t>
      </w:r>
    </w:p>
    <w:p>
      <w:pPr>
        <w:spacing w:line="107" w:lineRule="exact"/>
        <w:rPr/>
      </w:pPr>
      <w:r/>
    </w:p>
    <w:tbl>
      <w:tblPr>
        <w:tblStyle w:val="TableNormal"/>
        <w:tblW w:w="854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1"/>
        <w:gridCol w:w="2726"/>
        <w:gridCol w:w="1252"/>
        <w:gridCol w:w="1858"/>
        <w:gridCol w:w="1973"/>
      </w:tblGrid>
      <w:tr>
        <w:trPr>
          <w:trHeight w:val="944" w:hRule="atLeast"/>
        </w:trPr>
        <w:tc>
          <w:tcPr>
            <w:tcW w:w="73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序号</w:t>
            </w:r>
          </w:p>
        </w:tc>
        <w:tc>
          <w:tcPr>
            <w:tcW w:w="27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0"/>
              <w:spacing w:before="78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排放类别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154" w:right="142" w:firstLine="10"/>
              <w:spacing w:before="155" w:line="260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温室气体</w:t>
            </w:r>
            <w:r>
              <w:rPr>
                <w:spacing w:val="2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排放种类</w:t>
            </w:r>
          </w:p>
        </w:tc>
        <w:tc>
          <w:tcPr>
            <w:tcW w:w="185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 w:line="215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能源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/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物料品种</w:t>
            </w:r>
          </w:p>
        </w:tc>
        <w:tc>
          <w:tcPr>
            <w:tcW w:w="197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8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设备名称</w:t>
            </w:r>
          </w:p>
        </w:tc>
      </w:tr>
      <w:tr>
        <w:trPr>
          <w:trHeight w:val="940" w:hRule="atLeast"/>
        </w:trPr>
        <w:tc>
          <w:tcPr>
            <w:tcW w:w="73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vAlign w:val="top"/>
          </w:tcPr>
          <w:p>
            <w:pPr>
              <w:pStyle w:val="TableText"/>
              <w:ind w:left="112" w:right="104" w:firstLine="6"/>
              <w:spacing w:before="151" w:line="261" w:lineRule="auto"/>
              <w:rPr/>
            </w:pPr>
            <w:r>
              <w:rPr>
                <w:spacing w:val="37"/>
              </w:rPr>
              <w:t>工业生产过程产生的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3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12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9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2"/>
                <w:position w:val="-1"/>
              </w:rPr>
              <w:t>2</w:t>
            </w:r>
          </w:p>
        </w:tc>
        <w:tc>
          <w:tcPr>
            <w:tcW w:w="185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894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97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951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940" w:hRule="atLeast"/>
        </w:trPr>
        <w:tc>
          <w:tcPr>
            <w:tcW w:w="73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vAlign w:val="top"/>
          </w:tcPr>
          <w:p>
            <w:pPr>
              <w:pStyle w:val="TableText"/>
              <w:ind w:left="121"/>
              <w:spacing w:before="152" w:line="432" w:lineRule="exact"/>
              <w:rPr/>
            </w:pPr>
            <w:r>
              <w:rPr>
                <w:spacing w:val="38"/>
                <w:position w:val="14"/>
              </w:rPr>
              <w:t>化石燃料燃烧排放量</w:t>
            </w:r>
          </w:p>
          <w:p>
            <w:pPr>
              <w:ind w:left="113"/>
              <w:spacing w:before="1" w:line="19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</w:p>
        </w:tc>
        <w:tc>
          <w:tcPr>
            <w:tcW w:w="12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97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2"/>
                <w:position w:val="-1"/>
              </w:rPr>
              <w:t>2</w:t>
            </w:r>
          </w:p>
        </w:tc>
        <w:tc>
          <w:tcPr>
            <w:tcW w:w="185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8"/>
              <w:spacing w:before="78" w:line="219" w:lineRule="auto"/>
              <w:rPr/>
            </w:pPr>
            <w:r>
              <w:rPr>
                <w:spacing w:val="-11"/>
              </w:rPr>
              <w:t>汽油</w:t>
            </w:r>
          </w:p>
        </w:tc>
        <w:tc>
          <w:tcPr>
            <w:tcW w:w="197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8" w:line="214" w:lineRule="auto"/>
              <w:rPr/>
            </w:pPr>
            <w:r>
              <w:rPr>
                <w:spacing w:val="-3"/>
              </w:rPr>
              <w:t>厂内用汽油车辆</w:t>
            </w:r>
          </w:p>
        </w:tc>
      </w:tr>
      <w:tr>
        <w:trPr>
          <w:trHeight w:val="940" w:hRule="atLeast"/>
        </w:trPr>
        <w:tc>
          <w:tcPr>
            <w:tcW w:w="73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  <w:vAlign w:val="top"/>
          </w:tcPr>
          <w:p>
            <w:pPr>
              <w:pStyle w:val="TableText"/>
              <w:ind w:left="133" w:right="104" w:hanging="14"/>
              <w:spacing w:before="155" w:line="260" w:lineRule="auto"/>
              <w:rPr/>
            </w:pPr>
            <w:r>
              <w:rPr>
                <w:spacing w:val="9"/>
              </w:rPr>
              <w:t>净购入使用的电力对应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2"/>
                <w:w w:val="102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12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97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2"/>
                <w:position w:val="-1"/>
              </w:rPr>
              <w:t>2</w:t>
            </w:r>
          </w:p>
        </w:tc>
        <w:tc>
          <w:tcPr>
            <w:tcW w:w="185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78" w:line="218" w:lineRule="auto"/>
              <w:rPr/>
            </w:pPr>
            <w:r>
              <w:rPr>
                <w:spacing w:val="-4"/>
              </w:rPr>
              <w:t>净购入电力</w:t>
            </w:r>
          </w:p>
        </w:tc>
        <w:tc>
          <w:tcPr>
            <w:tcW w:w="197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217" w:lineRule="auto"/>
              <w:rPr/>
            </w:pPr>
            <w:r>
              <w:rPr>
                <w:spacing w:val="-3"/>
              </w:rPr>
              <w:t>厂内用电设施</w:t>
            </w:r>
          </w:p>
        </w:tc>
      </w:tr>
      <w:tr>
        <w:trPr>
          <w:trHeight w:val="799" w:hRule="atLeast"/>
        </w:trPr>
        <w:tc>
          <w:tcPr>
            <w:tcW w:w="8540" w:type="dxa"/>
            <w:vAlign w:val="top"/>
            <w:gridSpan w:val="5"/>
          </w:tcPr>
          <w:p>
            <w:pPr>
              <w:pStyle w:val="TableText"/>
              <w:ind w:left="115"/>
              <w:spacing w:before="81" w:line="217" w:lineRule="auto"/>
              <w:rPr/>
            </w:pPr>
            <w:r>
              <w:rPr>
                <w:spacing w:val="-2"/>
              </w:rPr>
              <w:t>核查说明：</w:t>
            </w:r>
          </w:p>
          <w:p>
            <w:pPr>
              <w:pStyle w:val="TableText"/>
              <w:ind w:left="126"/>
              <w:spacing w:before="113" w:line="217" w:lineRule="auto"/>
              <w:rPr/>
            </w:pPr>
            <w:r>
              <w:rPr>
                <w:spacing w:val="-1"/>
              </w:rPr>
              <w:t>受核查方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2025  </w:t>
            </w:r>
            <w:r>
              <w:rPr>
                <w:spacing w:val="-1"/>
              </w:rPr>
              <w:t>年度的核查过程中无未覆盖或需要特别说明的问题。</w:t>
            </w:r>
          </w:p>
        </w:tc>
      </w:tr>
    </w:tbl>
    <w:p>
      <w:pPr>
        <w:pStyle w:val="BodyText"/>
        <w:ind w:left="131" w:right="131" w:firstLine="564"/>
        <w:spacing w:before="155" w:line="391" w:lineRule="auto"/>
        <w:jc w:val="both"/>
        <w:rPr/>
      </w:pPr>
      <w:r>
        <w:rPr>
          <w:spacing w:val="-5"/>
        </w:rPr>
        <w:t>综上所述，核查组确认受核查方是以独立法人核算单位为边界核</w:t>
      </w:r>
      <w:r>
        <w:rPr>
          <w:spacing w:val="16"/>
        </w:rPr>
        <w:t xml:space="preserve"> </w:t>
      </w:r>
      <w:r>
        <w:rPr>
          <w:spacing w:val="3"/>
        </w:rPr>
        <w:t>算和报告其温室气体排放，</w:t>
      </w:r>
      <w:r>
        <w:rPr>
          <w:rFonts w:ascii="Times New Roman" w:hAnsi="Times New Roman" w:eastAsia="Times New Roman" w:cs="Times New Roman"/>
          <w:spacing w:val="3"/>
        </w:rPr>
        <w:t>2025 </w:t>
      </w:r>
      <w:r>
        <w:rPr>
          <w:spacing w:val="3"/>
        </w:rPr>
        <w:t>年排放报告中的</w:t>
      </w:r>
      <w:r>
        <w:rPr>
          <w:spacing w:val="2"/>
        </w:rPr>
        <w:t>排放设施和排放源</w:t>
      </w:r>
      <w:r>
        <w:rPr/>
        <w:t xml:space="preserve"> </w:t>
      </w:r>
      <w:r>
        <w:rPr>
          <w:spacing w:val="-4"/>
        </w:rPr>
        <w:t>识别完整准确，核算边界与《工业其他行业企业温室气体排放核算方</w:t>
      </w:r>
    </w:p>
    <w:p>
      <w:pPr>
        <w:pStyle w:val="BodyText"/>
        <w:ind w:left="132"/>
        <w:spacing w:line="216" w:lineRule="auto"/>
        <w:rPr/>
      </w:pPr>
      <w:r>
        <w:rPr>
          <w:spacing w:val="-1"/>
        </w:rPr>
        <w:t>法与报告指南（试行）》的要求一致，与历史核查报告一致。</w:t>
      </w:r>
    </w:p>
    <w:p>
      <w:pPr>
        <w:pStyle w:val="BodyText"/>
        <w:ind w:left="716"/>
        <w:spacing w:before="256" w:line="216" w:lineRule="auto"/>
        <w:outlineLvl w:val="1"/>
        <w:rPr>
          <w:sz w:val="30"/>
          <w:szCs w:val="30"/>
        </w:rPr>
      </w:pPr>
      <w:bookmarkStart w:name="bookmark45" w:id="27"/>
      <w:bookmarkEnd w:id="27"/>
      <w:bookmarkStart w:name="bookmark16" w:id="28"/>
      <w:bookmarkEnd w:id="28"/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3.3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核算方法的核查</w:t>
      </w:r>
    </w:p>
    <w:p>
      <w:pPr>
        <w:pStyle w:val="BodyText"/>
        <w:ind w:left="683"/>
        <w:spacing w:before="247" w:line="593" w:lineRule="exact"/>
        <w:rPr/>
      </w:pPr>
      <w:r>
        <w:rPr>
          <w:spacing w:val="-4"/>
          <w:position w:val="24"/>
        </w:rPr>
        <w:t>核查组确认最终版排放报告中的温室气体排放采用《工业其他行</w:t>
      </w:r>
    </w:p>
    <w:p>
      <w:pPr>
        <w:pStyle w:val="BodyText"/>
        <w:ind w:left="135"/>
        <w:spacing w:before="1" w:line="216" w:lineRule="auto"/>
        <w:rPr/>
      </w:pPr>
      <w:r>
        <w:rPr>
          <w:spacing w:val="-1"/>
        </w:rPr>
        <w:t>业企业温室气体排放核算方法与报告指南（试行）》中的核算方法。</w:t>
      </w:r>
    </w:p>
    <w:p>
      <w:pPr>
        <w:spacing w:line="216" w:lineRule="auto"/>
        <w:sectPr>
          <w:headerReference w:type="default" r:id="rId23"/>
          <w:footerReference w:type="default" r:id="rId24"/>
          <w:pgSz w:w="11906" w:h="16839"/>
          <w:pgMar w:top="1172" w:right="1670" w:bottom="1245" w:left="1690" w:header="902" w:footer="1083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ind w:firstLine="16"/>
        <w:spacing w:line="6235" w:lineRule="exact"/>
        <w:rPr/>
      </w:pPr>
      <w:r>
        <w:rPr>
          <w:position w:val="-124"/>
        </w:rPr>
        <w:drawing>
          <wp:inline distT="0" distB="0" distL="0" distR="0">
            <wp:extent cx="5268467" cy="395935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467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82"/>
        <w:spacing w:before="198" w:line="221" w:lineRule="auto"/>
        <w:outlineLvl w:val="2"/>
        <w:rPr/>
      </w:pPr>
      <w:bookmarkStart w:name="bookmark46" w:id="29"/>
      <w:bookmarkEnd w:id="29"/>
      <w:bookmarkStart w:name="bookmark17" w:id="30"/>
      <w:bookmarkEnd w:id="30"/>
      <w:r>
        <w:rPr>
          <w:rFonts w:ascii="Times New Roman" w:hAnsi="Times New Roman" w:eastAsia="Times New Roman" w:cs="Times New Roman"/>
          <w:b/>
          <w:bCs/>
        </w:rPr>
        <w:t>3.3.1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化石燃料燃烧排放</w:t>
      </w:r>
    </w:p>
    <w:p>
      <w:pPr>
        <w:pStyle w:val="BodyText"/>
        <w:ind w:right="40"/>
        <w:spacing w:before="257" w:line="221" w:lineRule="auto"/>
        <w:jc w:val="right"/>
        <w:rPr/>
      </w:pPr>
      <w:r>
        <w:rPr>
          <w:spacing w:val="3"/>
        </w:rPr>
        <w:t>受核查方化石燃料燃烧产生的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spacing w:val="3"/>
          <w:position w:val="-2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spacing w:val="20"/>
          <w:position w:val="-2"/>
        </w:rPr>
        <w:t xml:space="preserve"> </w:t>
      </w:r>
      <w:r>
        <w:rPr>
          <w:spacing w:val="3"/>
        </w:rPr>
        <w:t>排放量主要基于分品种</w:t>
      </w:r>
      <w:r>
        <w:rPr>
          <w:spacing w:val="2"/>
        </w:rPr>
        <w:t>的燃</w:t>
      </w:r>
    </w:p>
    <w:p>
      <w:pPr>
        <w:pStyle w:val="BodyText"/>
        <w:ind w:left="34"/>
        <w:spacing w:before="257" w:line="221" w:lineRule="auto"/>
        <w:rPr/>
      </w:pPr>
      <w:r>
        <w:rPr>
          <w:spacing w:val="-1"/>
        </w:rPr>
        <w:t>料燃烧量、单位燃料的含碳量和碳氧化率计算得到，公式如下：</w:t>
      </w:r>
    </w:p>
    <w:p>
      <w:pPr>
        <w:pStyle w:val="BodyText"/>
        <w:ind w:right="93"/>
        <w:spacing w:before="139"/>
        <w:jc w:val="right"/>
        <w:rPr>
          <w:rFonts w:ascii="Calibri" w:hAnsi="Calibri" w:eastAsia="Calibri" w:cs="Calibri"/>
        </w:rPr>
      </w:pPr>
      <w:r>
        <w:rPr>
          <w:rFonts w:ascii="Cambria Math" w:hAnsi="Cambria Math" w:eastAsia="Cambria Math" w:cs="Cambria Math"/>
          <w:spacing w:val="-2"/>
          <w:position w:val="2"/>
        </w:rPr>
        <w:t>E</w:t>
      </w:r>
      <w:r>
        <w:rPr>
          <w:sz w:val="19"/>
          <w:szCs w:val="19"/>
          <w:spacing w:val="-2"/>
          <w:position w:val="-7"/>
        </w:rPr>
        <w:t>燃烧</w:t>
      </w:r>
      <w:r>
        <w:rPr>
          <w:sz w:val="19"/>
          <w:szCs w:val="19"/>
          <w:spacing w:val="-2"/>
          <w:position w:val="-7"/>
        </w:rPr>
        <w:t xml:space="preserve"> </w:t>
      </w:r>
      <w:r>
        <w:rPr>
          <w:rFonts w:ascii="Cambria Math" w:hAnsi="Cambria Math" w:eastAsia="Cambria Math" w:cs="Cambria Math"/>
          <w:spacing w:val="-2"/>
          <w:position w:val="2"/>
        </w:rPr>
        <w:t>=</w:t>
      </w:r>
      <w:r>
        <w:rPr>
          <w:rFonts w:ascii="Cambria Math" w:hAnsi="Cambria Math" w:eastAsia="Cambria Math" w:cs="Cambria Math"/>
          <w:spacing w:val="29"/>
          <w:position w:val="2"/>
        </w:rPr>
        <w:t xml:space="preserve"> </w:t>
      </w:r>
      <w:r>
        <w:rPr>
          <w:position w:val="-21"/>
        </w:rPr>
        <w:drawing>
          <wp:inline distT="0" distB="0" distL="0" distR="0">
            <wp:extent cx="363347" cy="388567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347" cy="38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hAnsi="Cambria Math" w:eastAsia="Cambria Math" w:cs="Cambria Math"/>
          <w:sz w:val="19"/>
          <w:szCs w:val="19"/>
          <w:spacing w:val="-2"/>
          <w:position w:val="-21"/>
        </w:rPr>
        <w:t>1</w:t>
      </w:r>
      <w:r>
        <w:rPr>
          <w:rFonts w:ascii="Cambria Math" w:hAnsi="Cambria Math" w:eastAsia="Cambria Math" w:cs="Cambria Math"/>
          <w:sz w:val="19"/>
          <w:szCs w:val="19"/>
          <w:spacing w:val="7"/>
          <w:position w:val="-21"/>
        </w:rPr>
        <w:t xml:space="preserve"> </w:t>
      </w:r>
      <w:r>
        <w:rPr>
          <w:rFonts w:ascii="Cambria Math" w:hAnsi="Cambria Math" w:eastAsia="Cambria Math" w:cs="Cambria Math"/>
          <w:spacing w:val="-2"/>
          <w:position w:val="2"/>
        </w:rPr>
        <w:t>AD</w:t>
      </w:r>
      <w:r>
        <w:rPr>
          <w:rFonts w:ascii="Cambria Math" w:hAnsi="Cambria Math" w:eastAsia="Cambria Math" w:cs="Cambria Math"/>
          <w:sz w:val="19"/>
          <w:szCs w:val="19"/>
          <w:spacing w:val="-2"/>
          <w:position w:val="-3"/>
        </w:rPr>
        <w:t>i</w:t>
      </w:r>
      <w:r>
        <w:rPr>
          <w:rFonts w:ascii="Cambria Math" w:hAnsi="Cambria Math" w:eastAsia="Cambria Math" w:cs="Cambria Math"/>
          <w:sz w:val="19"/>
          <w:szCs w:val="19"/>
          <w:spacing w:val="8"/>
          <w:position w:val="-3"/>
        </w:rPr>
        <w:t xml:space="preserve">  </w:t>
      </w:r>
      <w:r>
        <w:rPr>
          <w:rFonts w:ascii="Cambria Math" w:hAnsi="Cambria Math" w:eastAsia="Cambria Math" w:cs="Cambria Math"/>
          <w:spacing w:val="-2"/>
          <w:position w:val="2"/>
        </w:rPr>
        <w:t>×</w:t>
      </w:r>
      <w:r>
        <w:rPr>
          <w:rFonts w:ascii="Cambria Math" w:hAnsi="Cambria Math" w:eastAsia="Cambria Math" w:cs="Cambria Math"/>
          <w:spacing w:val="16"/>
          <w:position w:val="2"/>
        </w:rPr>
        <w:t xml:space="preserve"> </w:t>
      </w:r>
      <w:r>
        <w:rPr>
          <w:rFonts w:ascii="Cambria Math" w:hAnsi="Cambria Math" w:eastAsia="Cambria Math" w:cs="Cambria Math"/>
          <w:spacing w:val="-2"/>
          <w:position w:val="2"/>
        </w:rPr>
        <w:t>EF</w:t>
      </w:r>
      <w:r>
        <w:rPr>
          <w:rFonts w:ascii="Cambria Math" w:hAnsi="Cambria Math" w:eastAsia="Cambria Math" w:cs="Cambria Math"/>
          <w:sz w:val="19"/>
          <w:szCs w:val="19"/>
          <w:spacing w:val="-2"/>
          <w:position w:val="-3"/>
        </w:rPr>
        <w:t>i                                                              </w:t>
      </w:r>
      <w:r>
        <w:rPr>
          <w:spacing w:val="-2"/>
          <w:position w:val="1"/>
        </w:rPr>
        <w:t>公式</w:t>
      </w:r>
      <w:r>
        <w:rPr>
          <w:spacing w:val="-57"/>
          <w:position w:val="1"/>
        </w:rPr>
        <w:t xml:space="preserve"> </w:t>
      </w:r>
      <w:r>
        <w:rPr>
          <w:rFonts w:ascii="Calibri" w:hAnsi="Calibri" w:eastAsia="Calibri" w:cs="Calibri"/>
          <w:spacing w:val="-2"/>
          <w:position w:val="1"/>
        </w:rPr>
        <w:t>2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16"/>
        <w:spacing w:before="1" w:line="2880" w:lineRule="exact"/>
        <w:rPr/>
      </w:pPr>
      <w:r>
        <w:rPr>
          <w:position w:val="-57"/>
        </w:rPr>
        <w:drawing>
          <wp:inline distT="0" distB="0" distL="0" distR="0">
            <wp:extent cx="5266944" cy="18288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94" w:line="495" w:lineRule="exact"/>
        <w:jc w:val="right"/>
        <w:rPr/>
      </w:pPr>
      <w:r>
        <w:rPr>
          <w:spacing w:val="-6"/>
          <w:position w:val="15"/>
        </w:rPr>
        <w:t>核算和报告期内第</w:t>
      </w:r>
      <w:r>
        <w:rPr>
          <w:spacing w:val="-51"/>
          <w:position w:val="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6"/>
          <w:position w:val="15"/>
        </w:rPr>
        <w:t>i</w:t>
      </w:r>
      <w:r>
        <w:rPr>
          <w:rFonts w:ascii="Times New Roman" w:hAnsi="Times New Roman" w:eastAsia="Times New Roman" w:cs="Times New Roman"/>
          <w:i/>
          <w:iCs/>
          <w:spacing w:val="19"/>
          <w:position w:val="15"/>
        </w:rPr>
        <w:t xml:space="preserve"> </w:t>
      </w:r>
      <w:r>
        <w:rPr>
          <w:spacing w:val="-6"/>
          <w:position w:val="15"/>
        </w:rPr>
        <w:t>种化石燃料的活动水平按</w:t>
      </w:r>
      <w:r>
        <w:rPr>
          <w:spacing w:val="-68"/>
          <w:position w:val="15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5"/>
        </w:rPr>
        <w:t>ADi</w:t>
      </w:r>
      <w:r>
        <w:rPr>
          <w:rFonts w:ascii="Times New Roman" w:hAnsi="Times New Roman" w:eastAsia="Times New Roman" w:cs="Times New Roman"/>
          <w:spacing w:val="25"/>
          <w:position w:val="15"/>
        </w:rPr>
        <w:t xml:space="preserve"> </w:t>
      </w:r>
      <w:r>
        <w:rPr>
          <w:spacing w:val="-6"/>
          <w:position w:val="15"/>
        </w:rPr>
        <w:t>公式</w:t>
      </w:r>
      <w:r>
        <w:rPr>
          <w:spacing w:val="-59"/>
          <w:position w:val="15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5"/>
        </w:rPr>
        <w:t>3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 </w:t>
      </w:r>
      <w:r>
        <w:rPr>
          <w:spacing w:val="-6"/>
          <w:position w:val="15"/>
        </w:rPr>
        <w:t>计算：</w:t>
      </w:r>
    </w:p>
    <w:p>
      <w:pPr>
        <w:pStyle w:val="BodyText"/>
        <w:ind w:left="2570"/>
        <w:spacing w:before="1" w:line="217" w:lineRule="auto"/>
        <w:rPr>
          <w:rFonts w:ascii="Calibri" w:hAnsi="Calibri" w:eastAsia="Calibri" w:cs="Calibri"/>
        </w:rPr>
      </w:pPr>
      <w:r>
        <w:rPr>
          <w:rFonts w:ascii="Cambria Math" w:hAnsi="Cambria Math" w:eastAsia="Cambria Math" w:cs="Cambria Math"/>
          <w:spacing w:val="-2"/>
        </w:rPr>
        <w:t>AD</w:t>
      </w:r>
      <w:r>
        <w:rPr>
          <w:rFonts w:ascii="Cambria Math" w:hAnsi="Cambria Math" w:eastAsia="Cambria Math" w:cs="Cambria Math"/>
          <w:sz w:val="19"/>
          <w:szCs w:val="19"/>
          <w:spacing w:val="-2"/>
          <w:position w:val="-5"/>
        </w:rPr>
        <w:t>i</w:t>
      </w:r>
      <w:r>
        <w:rPr>
          <w:rFonts w:ascii="Cambria Math" w:hAnsi="Cambria Math" w:eastAsia="Cambria Math" w:cs="Cambria Math"/>
          <w:sz w:val="19"/>
          <w:szCs w:val="19"/>
          <w:spacing w:val="13"/>
          <w:position w:val="-5"/>
        </w:rPr>
        <w:t xml:space="preserve">  </w:t>
      </w:r>
      <w:r>
        <w:rPr>
          <w:rFonts w:ascii="Cambria Math" w:hAnsi="Cambria Math" w:eastAsia="Cambria Math" w:cs="Cambria Math"/>
          <w:spacing w:val="-2"/>
        </w:rPr>
        <w:t>=</w:t>
      </w:r>
      <w:r>
        <w:rPr>
          <w:rFonts w:ascii="Cambria Math" w:hAnsi="Cambria Math" w:eastAsia="Cambria Math" w:cs="Cambria Math"/>
          <w:spacing w:val="32"/>
          <w:w w:val="101"/>
        </w:rPr>
        <w:t xml:space="preserve"> </w:t>
      </w:r>
      <w:r>
        <w:rPr>
          <w:rFonts w:ascii="Cambria Math" w:hAnsi="Cambria Math" w:eastAsia="Cambria Math" w:cs="Cambria Math"/>
          <w:spacing w:val="-2"/>
        </w:rPr>
        <w:t>NCV</w:t>
      </w:r>
      <w:r>
        <w:rPr>
          <w:rFonts w:ascii="Cambria Math" w:hAnsi="Cambria Math" w:eastAsia="Cambria Math" w:cs="Cambria Math"/>
          <w:sz w:val="19"/>
          <w:szCs w:val="19"/>
          <w:spacing w:val="-2"/>
          <w:position w:val="-5"/>
        </w:rPr>
        <w:t>i  </w:t>
      </w:r>
      <w:r>
        <w:rPr>
          <w:rFonts w:ascii="Cambria Math" w:hAnsi="Cambria Math" w:eastAsia="Cambria Math" w:cs="Cambria Math"/>
          <w:spacing w:val="-2"/>
        </w:rPr>
        <w:t>×</w:t>
      </w:r>
      <w:r>
        <w:rPr>
          <w:rFonts w:ascii="Cambria Math" w:hAnsi="Cambria Math" w:eastAsia="Cambria Math" w:cs="Cambria Math"/>
          <w:spacing w:val="18"/>
        </w:rPr>
        <w:t xml:space="preserve"> </w:t>
      </w:r>
      <w:r>
        <w:rPr>
          <w:rFonts w:ascii="Cambria Math" w:hAnsi="Cambria Math" w:eastAsia="Cambria Math" w:cs="Cambria Math"/>
          <w:spacing w:val="-2"/>
        </w:rPr>
        <w:t>FC</w:t>
      </w:r>
      <w:r>
        <w:rPr>
          <w:rFonts w:ascii="Cambria Math" w:hAnsi="Cambria Math" w:eastAsia="Cambria Math" w:cs="Cambria Math"/>
          <w:sz w:val="19"/>
          <w:szCs w:val="19"/>
          <w:spacing w:val="-2"/>
          <w:position w:val="-5"/>
        </w:rPr>
        <w:t>i                                                                 </w:t>
      </w:r>
      <w:r>
        <w:rPr>
          <w:rFonts w:ascii="Cambria Math" w:hAnsi="Cambria Math" w:eastAsia="Cambria Math" w:cs="Cambria Math"/>
          <w:sz w:val="19"/>
          <w:szCs w:val="19"/>
          <w:spacing w:val="-3"/>
          <w:position w:val="-5"/>
        </w:rPr>
        <w:t xml:space="preserve">      </w:t>
      </w:r>
      <w:r>
        <w:rPr>
          <w:spacing w:val="-3"/>
        </w:rPr>
        <w:t>公式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3"/>
        </w:rPr>
        <w:t>3</w:t>
      </w:r>
    </w:p>
    <w:p>
      <w:pPr>
        <w:pStyle w:val="BodyText"/>
        <w:ind w:left="598"/>
        <w:spacing w:before="296" w:line="223" w:lineRule="auto"/>
        <w:rPr/>
      </w:pPr>
      <w:r>
        <w:rPr>
          <w:spacing w:val="-7"/>
        </w:rPr>
        <w:t>其中：</w:t>
      </w:r>
    </w:p>
    <w:p>
      <w:pPr>
        <w:spacing w:line="223" w:lineRule="auto"/>
        <w:sectPr>
          <w:headerReference w:type="default" r:id="rId25"/>
          <w:footerReference w:type="default" r:id="rId26"/>
          <w:pgSz w:w="11906" w:h="16839"/>
          <w:pgMar w:top="1172" w:right="1764" w:bottom="1245" w:left="1785" w:header="902" w:footer="1083" w:gutter="0"/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ind w:firstLine="16"/>
        <w:spacing w:line="4155" w:lineRule="exact"/>
        <w:rPr/>
      </w:pPr>
      <w:r>
        <w:rPr>
          <w:position w:val="-83"/>
        </w:rPr>
        <w:drawing>
          <wp:inline distT="0" distB="0" distL="0" distR="0">
            <wp:extent cx="5266944" cy="263804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263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97"/>
        <w:spacing w:before="258" w:line="221" w:lineRule="auto"/>
        <w:rPr/>
      </w:pPr>
      <w:r>
        <w:rPr>
          <w:spacing w:val="-2"/>
        </w:rPr>
        <w:t>化石燃料的二氧化碳排放因子按公式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计算：</w:t>
      </w:r>
    </w:p>
    <w:p>
      <w:pPr>
        <w:ind w:left="2380"/>
        <w:spacing w:before="137"/>
        <w:rPr>
          <w:sz w:val="28"/>
          <w:szCs w:val="28"/>
        </w:rPr>
      </w:pPr>
      <w:r>
        <w:pict>
          <v:shape id="_x0000_s22" style="position:absolute;margin-left:373.993pt;margin-top:12.8535pt;mso-position-vertical-relative:text;mso-position-horizontal-relative:text;width:39.35pt;height:1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4" w:lineRule="auto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8"/>
                    </w:rPr>
                    <w:t>公式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8"/>
                    </w:rPr>
                    <w:t>4</w:t>
                  </w:r>
                </w:p>
              </w:txbxContent>
            </v:textbox>
          </v:shape>
        </w:pict>
      </w:r>
      <w:r>
        <w:rPr>
          <w:rFonts w:ascii="Cambria Math" w:hAnsi="Cambria Math" w:eastAsia="Cambria Math" w:cs="Cambria Math"/>
          <w:sz w:val="28"/>
          <w:szCs w:val="28"/>
          <w:spacing w:val="-10"/>
        </w:rPr>
        <w:t>EF</w:t>
      </w:r>
      <w:r>
        <w:rPr>
          <w:rFonts w:ascii="Cambria Math" w:hAnsi="Cambria Math" w:eastAsia="Cambria Math" w:cs="Cambria Math"/>
          <w:sz w:val="19"/>
          <w:szCs w:val="19"/>
          <w:spacing w:val="-10"/>
          <w:position w:val="-5"/>
        </w:rPr>
        <w:t>i</w:t>
      </w:r>
      <w:r>
        <w:rPr>
          <w:rFonts w:ascii="Cambria Math" w:hAnsi="Cambria Math" w:eastAsia="Cambria Math" w:cs="Cambria Math"/>
          <w:sz w:val="19"/>
          <w:szCs w:val="19"/>
          <w:spacing w:val="16"/>
          <w:position w:val="-5"/>
        </w:rPr>
        <w:t xml:space="preserve">  </w:t>
      </w:r>
      <w:r>
        <w:rPr>
          <w:rFonts w:ascii="Cambria Math" w:hAnsi="Cambria Math" w:eastAsia="Cambria Math" w:cs="Cambria Math"/>
          <w:sz w:val="28"/>
          <w:szCs w:val="28"/>
          <w:spacing w:val="-10"/>
        </w:rPr>
        <w:t>=</w:t>
      </w:r>
      <w:r>
        <w:rPr>
          <w:rFonts w:ascii="Cambria Math" w:hAnsi="Cambria Math" w:eastAsia="Cambria Math" w:cs="Cambria Math"/>
          <w:sz w:val="28"/>
          <w:szCs w:val="28"/>
          <w:spacing w:val="33"/>
        </w:rPr>
        <w:t xml:space="preserve"> </w:t>
      </w:r>
      <w:r>
        <w:rPr>
          <w:rFonts w:ascii="Cambria Math" w:hAnsi="Cambria Math" w:eastAsia="Cambria Math" w:cs="Cambria Math"/>
          <w:sz w:val="28"/>
          <w:szCs w:val="28"/>
          <w:spacing w:val="-10"/>
        </w:rPr>
        <w:t>CC</w:t>
      </w:r>
      <w:r>
        <w:rPr>
          <w:rFonts w:ascii="Cambria Math" w:hAnsi="Cambria Math" w:eastAsia="Cambria Math" w:cs="Cambria Math"/>
          <w:sz w:val="19"/>
          <w:szCs w:val="19"/>
          <w:spacing w:val="-10"/>
          <w:position w:val="-5"/>
        </w:rPr>
        <w:t>i</w:t>
      </w:r>
      <w:r>
        <w:rPr>
          <w:rFonts w:ascii="Cambria Math" w:hAnsi="Cambria Math" w:eastAsia="Cambria Math" w:cs="Cambria Math"/>
          <w:sz w:val="19"/>
          <w:szCs w:val="19"/>
          <w:spacing w:val="7"/>
          <w:position w:val="-5"/>
        </w:rPr>
        <w:t xml:space="preserve">  </w:t>
      </w:r>
      <w:r>
        <w:rPr>
          <w:rFonts w:ascii="Cambria Math" w:hAnsi="Cambria Math" w:eastAsia="Cambria Math" w:cs="Cambria Math"/>
          <w:sz w:val="28"/>
          <w:szCs w:val="28"/>
          <w:spacing w:val="-10"/>
        </w:rPr>
        <w:t>×</w:t>
      </w:r>
      <w:r>
        <w:rPr>
          <w:rFonts w:ascii="Cambria Math" w:hAnsi="Cambria Math" w:eastAsia="Cambria Math" w:cs="Cambria Math"/>
          <w:sz w:val="28"/>
          <w:szCs w:val="28"/>
          <w:spacing w:val="17"/>
        </w:rPr>
        <w:t xml:space="preserve"> </w:t>
      </w:r>
      <w:r>
        <w:rPr>
          <w:rFonts w:ascii="Cambria Math" w:hAnsi="Cambria Math" w:eastAsia="Cambria Math" w:cs="Cambria Math"/>
          <w:sz w:val="28"/>
          <w:szCs w:val="28"/>
          <w:spacing w:val="-10"/>
        </w:rPr>
        <w:t>OF</w:t>
      </w:r>
      <w:r>
        <w:rPr>
          <w:rFonts w:ascii="Cambria Math" w:hAnsi="Cambria Math" w:eastAsia="Cambria Math" w:cs="Cambria Math"/>
          <w:sz w:val="19"/>
          <w:szCs w:val="19"/>
          <w:spacing w:val="-10"/>
          <w:position w:val="-5"/>
        </w:rPr>
        <w:t>i</w:t>
      </w:r>
      <w:r>
        <w:rPr>
          <w:rFonts w:ascii="Cambria Math" w:hAnsi="Cambria Math" w:eastAsia="Cambria Math" w:cs="Cambria Math"/>
          <w:sz w:val="19"/>
          <w:szCs w:val="19"/>
          <w:spacing w:val="8"/>
          <w:position w:val="-5"/>
        </w:rPr>
        <w:t xml:space="preserve">  </w:t>
      </w:r>
      <w:r>
        <w:rPr>
          <w:rFonts w:ascii="Cambria Math" w:hAnsi="Cambria Math" w:eastAsia="Cambria Math" w:cs="Cambria Math"/>
          <w:sz w:val="28"/>
          <w:szCs w:val="28"/>
          <w:spacing w:val="-10"/>
        </w:rPr>
        <w:t>× </w:t>
      </w:r>
      <w:r>
        <w:rPr>
          <w:sz w:val="28"/>
          <w:szCs w:val="28"/>
          <w:position w:val="-18"/>
        </w:rPr>
        <w:drawing>
          <wp:inline distT="0" distB="0" distL="0" distR="0">
            <wp:extent cx="208331" cy="37433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331" cy="3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23" w:lineRule="auto"/>
        <w:rPr/>
      </w:pPr>
      <w:r>
        <w:rPr>
          <w:spacing w:val="-7"/>
        </w:rPr>
        <w:t>其中：</w:t>
      </w:r>
    </w:p>
    <w:p>
      <w:pPr>
        <w:ind w:firstLine="16"/>
        <w:spacing w:before="99" w:line="2349" w:lineRule="exact"/>
        <w:rPr/>
      </w:pPr>
      <w:r>
        <w:rPr>
          <w:position w:val="-46"/>
        </w:rPr>
        <w:drawing>
          <wp:inline distT="0" distB="0" distL="0" distR="0">
            <wp:extent cx="5266944" cy="149199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82"/>
        <w:spacing w:before="175" w:line="223" w:lineRule="auto"/>
        <w:outlineLvl w:val="2"/>
        <w:rPr/>
      </w:pPr>
      <w:bookmarkStart w:name="bookmark47" w:id="31"/>
      <w:bookmarkEnd w:id="31"/>
      <w:bookmarkStart w:name="bookmark18" w:id="32"/>
      <w:bookmarkEnd w:id="32"/>
      <w:r>
        <w:rPr>
          <w:rFonts w:ascii="Times New Roman" w:hAnsi="Times New Roman" w:eastAsia="Times New Roman" w:cs="Times New Roman"/>
          <w:b/>
          <w:bCs/>
        </w:rPr>
        <w:t>3.3.2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工业生产过程排放</w:t>
      </w:r>
    </w:p>
    <w:p>
      <w:pPr>
        <w:pStyle w:val="BodyText"/>
        <w:ind w:left="40" w:right="62" w:firstLine="562"/>
        <w:spacing w:before="254" w:line="391" w:lineRule="auto"/>
        <w:rPr/>
      </w:pPr>
      <w:r>
        <w:rPr>
          <w:spacing w:val="-1"/>
        </w:rPr>
        <w:t>工业生产过程温室气体排放包括碳酸盐在消耗过程中产生的二</w:t>
      </w:r>
      <w:r>
        <w:rPr/>
        <w:t xml:space="preserve">  </w:t>
      </w:r>
      <w:r>
        <w:rPr>
          <w:spacing w:val="-4"/>
        </w:rPr>
        <w:t>氧化碳排放，外购工业生产的二氧化碳作为原料在使用过程</w:t>
      </w:r>
      <w:r>
        <w:rPr>
          <w:spacing w:val="-5"/>
        </w:rPr>
        <w:t>中损耗产</w:t>
      </w:r>
    </w:p>
    <w:p>
      <w:pPr>
        <w:pStyle w:val="BodyText"/>
        <w:spacing w:before="1" w:line="221" w:lineRule="auto"/>
        <w:jc w:val="right"/>
        <w:rPr/>
      </w:pPr>
      <w:r>
        <w:rPr>
          <w:spacing w:val="-3"/>
        </w:rPr>
        <w:t>生的排放，不考虑来源为空气分离法及生物发酵法制得的二氧化碳。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8"/>
          <w:szCs w:val="28"/>
        </w:rPr>
      </w:sdtEndPr>
      <w:sdtContent>
        <w:p>
          <w:pPr>
            <w:pStyle w:val="BodyText"/>
            <w:ind w:left="35"/>
            <w:spacing w:before="257" w:line="222" w:lineRule="auto"/>
            <w:rPr/>
          </w:pPr>
          <w:r>
            <w:rPr>
              <w:spacing w:val="-7"/>
            </w:rPr>
            <w:t>按公式</w:t>
          </w:r>
          <w:r>
            <w:rPr>
              <w:spacing w:val="-5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</w:rPr>
            <w:t>5</w:t>
          </w:r>
          <w:r>
            <w:rPr>
              <w:rFonts w:ascii="Times New Roman" w:hAnsi="Times New Roman" w:eastAsia="Times New Roman" w:cs="Times New Roman"/>
              <w:spacing w:val="20"/>
            </w:rPr>
            <w:t xml:space="preserve"> </w:t>
          </w:r>
          <w:r>
            <w:rPr>
              <w:spacing w:val="-7"/>
            </w:rPr>
            <w:t>计算：</w:t>
          </w:r>
        </w:p>
        <w:p>
          <w:pPr>
            <w:pStyle w:val="BodyText"/>
            <w:ind w:left="690"/>
            <w:spacing w:before="132" w:line="236" w:lineRule="auto"/>
            <w:rPr>
              <w:rFonts w:ascii="Calibri" w:hAnsi="Calibri" w:eastAsia="Calibri" w:cs="Calibri"/>
            </w:rPr>
          </w:pPr>
          <w:r>
            <w:rPr>
              <w:rFonts w:ascii="Cambria Math" w:hAnsi="Cambria Math" w:eastAsia="Cambria Math" w:cs="Cambria Math"/>
              <w:spacing w:val="-3"/>
              <w:position w:val="1"/>
            </w:rPr>
            <w:t>E</w:t>
          </w:r>
          <w:r>
            <w:rPr>
              <w:sz w:val="19"/>
              <w:szCs w:val="19"/>
              <w:spacing w:val="-3"/>
              <w:position w:val="-7"/>
            </w:rPr>
            <w:t>工业生产</w:t>
          </w:r>
          <w:r>
            <w:rPr>
              <w:sz w:val="19"/>
              <w:szCs w:val="19"/>
              <w:spacing w:val="-3"/>
              <w:position w:val="-7"/>
            </w:rPr>
            <w:t xml:space="preserve"> </w:t>
          </w:r>
          <w:r>
            <w:rPr>
              <w:rFonts w:ascii="Cambria Math" w:hAnsi="Cambria Math" w:eastAsia="Cambria Math" w:cs="Cambria Math"/>
              <w:spacing w:val="-3"/>
              <w:position w:val="1"/>
            </w:rPr>
            <w:t>=</w:t>
          </w:r>
          <w:r>
            <w:rPr>
              <w:rFonts w:ascii="Cambria Math" w:hAnsi="Cambria Math" w:eastAsia="Cambria Math" w:cs="Cambria Math"/>
              <w:spacing w:val="21"/>
              <w:position w:val="1"/>
            </w:rPr>
            <w:t xml:space="preserve"> </w:t>
          </w:r>
          <w:r>
            <w:rPr>
              <w:position w:val="-16"/>
            </w:rPr>
            <w:drawing>
              <wp:inline distT="0" distB="0" distL="0" distR="0">
                <wp:extent cx="233273" cy="342620"/>
                <wp:effectExtent l="0" t="0" r="0" b="0"/>
                <wp:docPr id="22" name="IM 22"/>
                <wp:cNvGraphicFramePr/>
                <a:graphic>
                  <a:graphicData uri="http://schemas.openxmlformats.org/drawingml/2006/picture">
                    <pic:pic>
                      <pic:nvPicPr>
                        <pic:cNvPr id="22" name="IM 22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233273" cy="3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 Math" w:hAnsi="Cambria Math" w:eastAsia="Cambria Math" w:cs="Cambria Math"/>
              <w:sz w:val="19"/>
              <w:szCs w:val="19"/>
              <w:spacing w:val="-3"/>
              <w:position w:val="-21"/>
            </w:rPr>
            <w:t>i </w:t>
          </w:r>
          <w:r>
            <w:rPr>
              <w:spacing w:val="-3"/>
              <w:position w:val="1"/>
            </w:rPr>
            <w:t>（</w:t>
          </w:r>
          <w:r>
            <w:rPr>
              <w:rFonts w:ascii="Cambria Math" w:hAnsi="Cambria Math" w:eastAsia="Cambria Math" w:cs="Cambria Math"/>
              <w:spacing w:val="-3"/>
              <w:position w:val="1"/>
            </w:rPr>
            <w:t>AD</w:t>
          </w:r>
          <w:r>
            <w:rPr>
              <w:rFonts w:ascii="Cambria Math" w:hAnsi="Cambria Math" w:eastAsia="Cambria Math" w:cs="Cambria Math"/>
              <w:sz w:val="19"/>
              <w:szCs w:val="19"/>
              <w:spacing w:val="-3"/>
              <w:position w:val="-3"/>
            </w:rPr>
            <w:t>i  </w:t>
          </w:r>
          <w:r>
            <w:rPr>
              <w:rFonts w:ascii="Cambria Math" w:hAnsi="Cambria Math" w:eastAsia="Cambria Math" w:cs="Cambria Math"/>
              <w:spacing w:val="-3"/>
              <w:position w:val="1"/>
            </w:rPr>
            <w:t>×</w:t>
          </w:r>
          <w:r>
            <w:rPr>
              <w:rFonts w:ascii="Cambria Math" w:hAnsi="Cambria Math" w:eastAsia="Cambria Math" w:cs="Cambria Math"/>
              <w:spacing w:val="15"/>
              <w:w w:val="101"/>
              <w:position w:val="1"/>
            </w:rPr>
            <w:t xml:space="preserve"> </w:t>
          </w:r>
          <w:r>
            <w:rPr>
              <w:rFonts w:ascii="Cambria Math" w:hAnsi="Cambria Math" w:eastAsia="Cambria Math" w:cs="Cambria Math"/>
              <w:spacing w:val="-3"/>
              <w:position w:val="1"/>
            </w:rPr>
            <w:t>EF</w:t>
          </w:r>
          <w:r>
            <w:rPr>
              <w:rFonts w:ascii="Cambria Math" w:hAnsi="Cambria Math" w:eastAsia="Cambria Math" w:cs="Cambria Math"/>
              <w:sz w:val="19"/>
              <w:szCs w:val="19"/>
              <w:spacing w:val="-3"/>
              <w:position w:val="-3"/>
            </w:rPr>
            <w:t>i</w:t>
          </w:r>
          <w:r>
            <w:rPr>
              <w:rFonts w:ascii="Cambria Math" w:hAnsi="Cambria Math" w:eastAsia="Cambria Math" w:cs="Cambria Math"/>
              <w:sz w:val="19"/>
              <w:szCs w:val="19"/>
              <w:spacing w:val="7"/>
              <w:position w:val="-3"/>
            </w:rPr>
            <w:t xml:space="preserve">  </w:t>
          </w:r>
          <w:r>
            <w:rPr>
              <w:rFonts w:ascii="Cambria Math" w:hAnsi="Cambria Math" w:eastAsia="Cambria Math" w:cs="Cambria Math"/>
              <w:spacing w:val="-3"/>
              <w:position w:val="1"/>
            </w:rPr>
            <w:t>×</w:t>
          </w:r>
          <w:r>
            <w:rPr>
              <w:rFonts w:ascii="Cambria Math" w:hAnsi="Cambria Math" w:eastAsia="Cambria Math" w:cs="Cambria Math"/>
              <w:spacing w:val="17"/>
              <w:w w:val="101"/>
              <w:position w:val="1"/>
            </w:rPr>
            <w:t xml:space="preserve"> </w:t>
          </w:r>
          <w:r>
            <w:rPr>
              <w:rFonts w:ascii="Cambria Math" w:hAnsi="Cambria Math" w:eastAsia="Cambria Math" w:cs="Cambria Math"/>
              <w:spacing w:val="-3"/>
              <w:position w:val="1"/>
            </w:rPr>
            <w:t>PUR</w:t>
          </w:r>
          <w:r>
            <w:rPr>
              <w:rFonts w:ascii="Cambria Math" w:hAnsi="Cambria Math" w:eastAsia="Cambria Math" w:cs="Cambria Math"/>
              <w:sz w:val="19"/>
              <w:szCs w:val="19"/>
              <w:spacing w:val="-4"/>
              <w:position w:val="-3"/>
            </w:rPr>
            <w:t>i</w:t>
          </w:r>
          <w:r>
            <w:rPr>
              <w:rFonts w:ascii="Cambria Math" w:hAnsi="Cambria Math" w:eastAsia="Cambria Math" w:cs="Cambria Math"/>
              <w:sz w:val="19"/>
              <w:szCs w:val="19"/>
              <w:spacing w:val="8"/>
              <w:position w:val="-3"/>
            </w:rPr>
            <w:t xml:space="preserve"> </w:t>
          </w:r>
          <w:r>
            <w:rPr>
              <w:spacing w:val="-4"/>
              <w:position w:val="1"/>
            </w:rPr>
            <w:t>）</w:t>
          </w:r>
          <w:r>
            <w:rPr>
              <w:spacing w:val="-57"/>
              <w:position w:val="1"/>
            </w:rPr>
            <w:t xml:space="preserve"> </w:t>
          </w:r>
          <w:r>
            <w:rPr>
              <w:rFonts w:ascii="Cambria Math" w:hAnsi="Cambria Math" w:eastAsia="Cambria Math" w:cs="Cambria Math"/>
              <w:spacing w:val="-4"/>
              <w:position w:val="1"/>
            </w:rPr>
            <w:t>+ AD</w:t>
          </w:r>
          <w:r>
            <w:rPr>
              <w:rFonts w:ascii="Cambria Math" w:hAnsi="Cambria Math" w:eastAsia="Cambria Math" w:cs="Cambria Math"/>
              <w:sz w:val="19"/>
              <w:szCs w:val="19"/>
              <w:spacing w:val="-4"/>
              <w:position w:val="-3"/>
            </w:rPr>
            <w:t>j</w:t>
          </w:r>
          <w:r>
            <w:rPr>
              <w:rFonts w:ascii="Cambria Math" w:hAnsi="Cambria Math" w:eastAsia="Cambria Math" w:cs="Cambria Math"/>
              <w:sz w:val="19"/>
              <w:szCs w:val="19"/>
              <w:spacing w:val="8"/>
              <w:position w:val="-3"/>
            </w:rPr>
            <w:t xml:space="preserve">  </w:t>
          </w:r>
          <w:r>
            <w:rPr>
              <w:rFonts w:ascii="Cambria Math" w:hAnsi="Cambria Math" w:eastAsia="Cambria Math" w:cs="Cambria Math"/>
              <w:spacing w:val="-4"/>
              <w:position w:val="1"/>
            </w:rPr>
            <w:t>×</w:t>
          </w:r>
          <w:r>
            <w:rPr>
              <w:rFonts w:ascii="Cambria Math" w:hAnsi="Cambria Math" w:eastAsia="Cambria Math" w:cs="Cambria Math"/>
              <w:spacing w:val="16"/>
              <w:position w:val="1"/>
            </w:rPr>
            <w:t xml:space="preserve"> </w:t>
          </w:r>
          <w:r>
            <w:rPr>
              <w:rFonts w:ascii="Cambria Math" w:hAnsi="Cambria Math" w:eastAsia="Cambria Math" w:cs="Cambria Math"/>
              <w:spacing w:val="-4"/>
              <w:position w:val="1"/>
            </w:rPr>
            <w:t>EF</w:t>
          </w:r>
          <w:r>
            <w:rPr>
              <w:rFonts w:ascii="Cambria Math" w:hAnsi="Cambria Math" w:eastAsia="Cambria Math" w:cs="Cambria Math"/>
              <w:sz w:val="19"/>
              <w:szCs w:val="19"/>
              <w:spacing w:val="-4"/>
              <w:position w:val="-3"/>
            </w:rPr>
            <w:t>j                         </w:t>
          </w:r>
          <w:r>
            <w:rPr>
              <w:spacing w:val="-4"/>
            </w:rPr>
            <w:t>公式</w:t>
          </w:r>
          <w:r>
            <w:rPr>
              <w:spacing w:val="-60"/>
            </w:rPr>
            <w:t xml:space="preserve"> </w:t>
          </w:r>
          <w:hyperlink w:history="true" w:anchor="bookmark48">
            <w:r>
              <w:rPr>
                <w:rFonts w:ascii="Calibri" w:hAnsi="Calibri" w:eastAsia="Calibri" w:cs="Calibri"/>
                <w:spacing w:val="-4"/>
              </w:rPr>
              <w:t>5</w:t>
            </w:r>
          </w:hyperlink>
        </w:p>
      </w:sdtContent>
    </w:sdt>
    <w:p>
      <w:pPr>
        <w:pStyle w:val="BodyText"/>
        <w:ind w:left="598"/>
        <w:spacing w:before="261" w:line="223" w:lineRule="auto"/>
        <w:rPr/>
      </w:pPr>
      <w:r>
        <w:rPr>
          <w:spacing w:val="-7"/>
        </w:rPr>
        <w:t>其中：</w:t>
      </w:r>
    </w:p>
    <w:p>
      <w:pPr>
        <w:spacing w:line="223" w:lineRule="auto"/>
        <w:sectPr>
          <w:headerReference w:type="default" r:id="rId30"/>
          <w:footerReference w:type="default" r:id="rId31"/>
          <w:pgSz w:w="11906" w:h="16839"/>
          <w:pgMar w:top="1172" w:right="1738" w:bottom="1245" w:left="1785" w:header="902" w:footer="1082" w:gutter="0"/>
        </w:sectPr>
        <w:rPr/>
      </w:pPr>
    </w:p>
    <w:p>
      <w:pPr>
        <w:spacing w:line="425" w:lineRule="auto"/>
        <w:rPr>
          <w:rFonts w:ascii="Arial"/>
          <w:sz w:val="21"/>
        </w:rPr>
      </w:pPr>
      <w:r/>
    </w:p>
    <w:p>
      <w:pPr>
        <w:ind w:firstLine="16"/>
        <w:spacing w:line="3624" w:lineRule="exact"/>
        <w:rPr/>
      </w:pPr>
      <w:r>
        <w:rPr>
          <w:position w:val="-72"/>
        </w:rPr>
        <w:drawing>
          <wp:inline distT="0" distB="0" distL="0" distR="0">
            <wp:extent cx="5266944" cy="230124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82"/>
        <w:spacing w:before="321" w:line="223" w:lineRule="auto"/>
        <w:outlineLvl w:val="2"/>
        <w:rPr/>
      </w:pPr>
      <w:bookmarkStart w:name="bookmark49" w:id="33"/>
      <w:bookmarkEnd w:id="33"/>
      <w:bookmarkStart w:name="bookmark19" w:id="34"/>
      <w:bookmarkEnd w:id="34"/>
      <w:r>
        <w:rPr>
          <w:rFonts w:ascii="Times New Roman" w:hAnsi="Times New Roman" w:eastAsia="Times New Roman" w:cs="Times New Roman"/>
          <w:b/>
          <w:bCs/>
        </w:rPr>
        <w:t>3.3.3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净购入使用电力和热力产生的排放</w:t>
      </w:r>
    </w:p>
    <w:p>
      <w:pPr>
        <w:pStyle w:val="BodyText"/>
        <w:ind w:left="609"/>
        <w:spacing w:before="252" w:line="512" w:lineRule="exact"/>
        <w:rPr/>
      </w:pPr>
      <w:r>
        <w:pict>
          <v:shape id="_x0000_s24" style="position:absolute;margin-left:373.993pt;margin-top:37.0494pt;mso-position-vertical-relative:text;mso-position-horizontal-relative:text;width:39.35pt;height:19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4" w:lineRule="auto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8"/>
                    </w:rPr>
                    <w:t>公式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8"/>
                    </w:rPr>
                    <w:t>6</w:t>
                  </w:r>
                </w:p>
              </w:txbxContent>
            </v:textbox>
          </v:shape>
        </w:pict>
      </w:r>
      <w:r>
        <w:rPr>
          <w:spacing w:val="-3"/>
          <w:position w:val="17"/>
        </w:rPr>
        <w:t>受核查方净购入使用电力产生的排放按公式</w:t>
      </w:r>
      <w:r>
        <w:rPr>
          <w:spacing w:val="-53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</w:rPr>
        <w:t>6</w:t>
      </w:r>
      <w:r>
        <w:rPr>
          <w:rFonts w:ascii="Times New Roman" w:hAnsi="Times New Roman" w:eastAsia="Times New Roman" w:cs="Times New Roman"/>
          <w:spacing w:val="20"/>
          <w:position w:val="17"/>
        </w:rPr>
        <w:t xml:space="preserve"> </w:t>
      </w:r>
      <w:r>
        <w:rPr>
          <w:spacing w:val="-3"/>
          <w:position w:val="17"/>
        </w:rPr>
        <w:t>计算：</w:t>
      </w:r>
    </w:p>
    <w:p>
      <w:pPr>
        <w:pStyle w:val="BodyText"/>
        <w:ind w:left="2543"/>
        <w:spacing w:line="361" w:lineRule="exact"/>
        <w:rPr>
          <w:sz w:val="19"/>
          <w:szCs w:val="19"/>
        </w:rPr>
      </w:pPr>
      <w:r>
        <w:rPr>
          <w:rFonts w:ascii="Cambria Math" w:hAnsi="Cambria Math" w:eastAsia="Cambria Math" w:cs="Cambria Math"/>
          <w:spacing w:val="-8"/>
          <w:position w:val="7"/>
        </w:rPr>
        <w:t>E</w:t>
      </w:r>
      <w:r>
        <w:rPr>
          <w:rFonts w:ascii="Cambria Math" w:hAnsi="Cambria Math" w:eastAsia="Cambria Math" w:cs="Cambria Math"/>
          <w:spacing w:val="-26"/>
          <w:position w:val="7"/>
        </w:rPr>
        <w:t xml:space="preserve"> </w:t>
      </w:r>
      <w:r>
        <w:rPr>
          <w:sz w:val="19"/>
          <w:szCs w:val="19"/>
          <w:spacing w:val="-8"/>
          <w:position w:val="-2"/>
        </w:rPr>
        <w:t>电</w:t>
      </w:r>
      <w:r>
        <w:rPr>
          <w:sz w:val="19"/>
          <w:szCs w:val="19"/>
          <w:spacing w:val="15"/>
          <w:position w:val="-2"/>
        </w:rPr>
        <w:t xml:space="preserve"> </w:t>
      </w:r>
      <w:r>
        <w:rPr>
          <w:rFonts w:ascii="Cambria Math" w:hAnsi="Cambria Math" w:eastAsia="Cambria Math" w:cs="Cambria Math"/>
          <w:spacing w:val="-8"/>
          <w:position w:val="7"/>
        </w:rPr>
        <w:t>=</w:t>
      </w:r>
      <w:r>
        <w:rPr>
          <w:rFonts w:ascii="Cambria Math" w:hAnsi="Cambria Math" w:eastAsia="Cambria Math" w:cs="Cambria Math"/>
          <w:spacing w:val="17"/>
          <w:position w:val="7"/>
        </w:rPr>
        <w:t xml:space="preserve"> </w:t>
      </w:r>
      <w:r>
        <w:rPr>
          <w:rFonts w:ascii="Cambria Math" w:hAnsi="Cambria Math" w:eastAsia="Cambria Math" w:cs="Cambria Math"/>
          <w:spacing w:val="-8"/>
          <w:position w:val="7"/>
        </w:rPr>
        <w:t>AD</w:t>
      </w:r>
      <w:r>
        <w:rPr>
          <w:sz w:val="19"/>
          <w:szCs w:val="19"/>
          <w:spacing w:val="-8"/>
          <w:position w:val="-2"/>
        </w:rPr>
        <w:t>电</w:t>
      </w:r>
      <w:r>
        <w:rPr>
          <w:sz w:val="19"/>
          <w:szCs w:val="19"/>
          <w:spacing w:val="-8"/>
          <w:position w:val="-2"/>
        </w:rPr>
        <w:t xml:space="preserve"> </w:t>
      </w:r>
      <w:r>
        <w:rPr>
          <w:rFonts w:ascii="Cambria Math" w:hAnsi="Cambria Math" w:eastAsia="Cambria Math" w:cs="Cambria Math"/>
          <w:spacing w:val="-8"/>
          <w:position w:val="7"/>
        </w:rPr>
        <w:t>×</w:t>
      </w:r>
      <w:r>
        <w:rPr>
          <w:rFonts w:ascii="Cambria Math" w:hAnsi="Cambria Math" w:eastAsia="Cambria Math" w:cs="Cambria Math"/>
          <w:spacing w:val="18"/>
          <w:w w:val="101"/>
          <w:position w:val="7"/>
        </w:rPr>
        <w:t xml:space="preserve"> </w:t>
      </w:r>
      <w:r>
        <w:rPr>
          <w:rFonts w:ascii="Cambria Math" w:hAnsi="Cambria Math" w:eastAsia="Cambria Math" w:cs="Cambria Math"/>
          <w:spacing w:val="-8"/>
          <w:position w:val="7"/>
        </w:rPr>
        <w:t>EF</w:t>
      </w:r>
      <w:r>
        <w:rPr>
          <w:sz w:val="19"/>
          <w:szCs w:val="19"/>
          <w:spacing w:val="-8"/>
          <w:position w:val="-2"/>
        </w:rPr>
        <w:t>电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23" w:lineRule="auto"/>
        <w:rPr/>
      </w:pPr>
      <w:r>
        <w:rPr>
          <w:spacing w:val="-7"/>
        </w:rPr>
        <w:t>其中：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16"/>
        <w:spacing w:line="2071" w:lineRule="exact"/>
        <w:rPr/>
      </w:pPr>
      <w:r>
        <w:rPr>
          <w:position w:val="-41"/>
        </w:rPr>
        <w:drawing>
          <wp:inline distT="0" distB="0" distL="0" distR="0">
            <wp:extent cx="5257800" cy="131521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7800" cy="13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09"/>
        <w:spacing w:before="302" w:line="513" w:lineRule="exact"/>
        <w:rPr/>
      </w:pPr>
      <w:r>
        <w:pict>
          <v:shape id="_x0000_s26" style="position:absolute;margin-left:373.993pt;margin-top:39.5411pt;mso-position-vertical-relative:text;mso-position-horizontal-relative:text;width:39.35pt;height:19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4" w:lineRule="auto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8"/>
                    </w:rPr>
                    <w:t>公式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8"/>
                    </w:rPr>
                    <w:t>7</w:t>
                  </w:r>
                </w:p>
              </w:txbxContent>
            </v:textbox>
          </v:shape>
        </w:pict>
      </w:r>
      <w:r>
        <w:rPr>
          <w:spacing w:val="-3"/>
          <w:position w:val="17"/>
        </w:rPr>
        <w:t>受核查方净购入使用热力产生的排放按公式</w:t>
      </w:r>
      <w:r>
        <w:rPr>
          <w:spacing w:val="-53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</w:rPr>
        <w:t>7</w:t>
      </w:r>
      <w:r>
        <w:rPr>
          <w:rFonts w:ascii="Times New Roman" w:hAnsi="Times New Roman" w:eastAsia="Times New Roman" w:cs="Times New Roman"/>
          <w:spacing w:val="20"/>
          <w:position w:val="17"/>
        </w:rPr>
        <w:t xml:space="preserve"> </w:t>
      </w:r>
      <w:r>
        <w:rPr>
          <w:spacing w:val="-3"/>
          <w:position w:val="17"/>
        </w:rPr>
        <w:t>计算：</w:t>
      </w:r>
    </w:p>
    <w:p>
      <w:pPr>
        <w:pStyle w:val="BodyText"/>
        <w:ind w:left="2543"/>
        <w:spacing w:line="356" w:lineRule="exact"/>
        <w:rPr>
          <w:sz w:val="19"/>
          <w:szCs w:val="19"/>
        </w:rPr>
      </w:pPr>
      <w:r>
        <w:rPr>
          <w:rFonts w:ascii="Cambria Math" w:hAnsi="Cambria Math" w:eastAsia="Cambria Math" w:cs="Cambria Math"/>
          <w:spacing w:val="-5"/>
          <w:position w:val="7"/>
        </w:rPr>
        <w:t>E</w:t>
      </w:r>
      <w:r>
        <w:rPr>
          <w:sz w:val="19"/>
          <w:szCs w:val="19"/>
          <w:spacing w:val="-5"/>
          <w:position w:val="-2"/>
        </w:rPr>
        <w:t>热</w:t>
      </w:r>
      <w:r>
        <w:rPr>
          <w:sz w:val="19"/>
          <w:szCs w:val="19"/>
          <w:spacing w:val="17"/>
          <w:position w:val="-2"/>
        </w:rPr>
        <w:t xml:space="preserve"> </w:t>
      </w:r>
      <w:r>
        <w:rPr>
          <w:rFonts w:ascii="Cambria Math" w:hAnsi="Cambria Math" w:eastAsia="Cambria Math" w:cs="Cambria Math"/>
          <w:spacing w:val="-5"/>
          <w:position w:val="7"/>
        </w:rPr>
        <w:t>=</w:t>
      </w:r>
      <w:r>
        <w:rPr>
          <w:rFonts w:ascii="Cambria Math" w:hAnsi="Cambria Math" w:eastAsia="Cambria Math" w:cs="Cambria Math"/>
          <w:spacing w:val="18"/>
          <w:position w:val="7"/>
        </w:rPr>
        <w:t xml:space="preserve"> </w:t>
      </w:r>
      <w:r>
        <w:rPr>
          <w:rFonts w:ascii="Cambria Math" w:hAnsi="Cambria Math" w:eastAsia="Cambria Math" w:cs="Cambria Math"/>
          <w:spacing w:val="-5"/>
          <w:position w:val="7"/>
        </w:rPr>
        <w:t>AD</w:t>
      </w:r>
      <w:r>
        <w:rPr>
          <w:sz w:val="19"/>
          <w:szCs w:val="19"/>
          <w:spacing w:val="-5"/>
          <w:position w:val="-2"/>
        </w:rPr>
        <w:t>热</w:t>
      </w:r>
      <w:r>
        <w:rPr>
          <w:sz w:val="19"/>
          <w:szCs w:val="19"/>
          <w:spacing w:val="-5"/>
          <w:position w:val="-2"/>
        </w:rPr>
        <w:t xml:space="preserve"> </w:t>
      </w:r>
      <w:r>
        <w:rPr>
          <w:rFonts w:ascii="Cambria Math" w:hAnsi="Cambria Math" w:eastAsia="Cambria Math" w:cs="Cambria Math"/>
          <w:spacing w:val="-5"/>
          <w:position w:val="7"/>
        </w:rPr>
        <w:t>×</w:t>
      </w:r>
      <w:r>
        <w:rPr>
          <w:rFonts w:ascii="Cambria Math" w:hAnsi="Cambria Math" w:eastAsia="Cambria Math" w:cs="Cambria Math"/>
          <w:spacing w:val="18"/>
          <w:position w:val="7"/>
        </w:rPr>
        <w:t xml:space="preserve"> </w:t>
      </w:r>
      <w:r>
        <w:rPr>
          <w:rFonts w:ascii="Cambria Math" w:hAnsi="Cambria Math" w:eastAsia="Cambria Math" w:cs="Cambria Math"/>
          <w:spacing w:val="-5"/>
          <w:position w:val="7"/>
        </w:rPr>
        <w:t>EF</w:t>
      </w:r>
      <w:r>
        <w:rPr>
          <w:sz w:val="19"/>
          <w:szCs w:val="19"/>
          <w:spacing w:val="-5"/>
          <w:position w:val="-2"/>
        </w:rPr>
        <w:t>热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23" w:lineRule="auto"/>
        <w:rPr/>
      </w:pPr>
      <w:r>
        <w:rPr>
          <w:spacing w:val="-7"/>
        </w:rPr>
        <w:t>其中：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firstLine="16"/>
        <w:spacing w:line="1239" w:lineRule="exact"/>
        <w:rPr/>
      </w:pPr>
      <w:r>
        <w:rPr>
          <w:position w:val="-24"/>
        </w:rPr>
        <w:drawing>
          <wp:inline distT="0" distB="0" distL="0" distR="0">
            <wp:extent cx="5268467" cy="78638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467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21"/>
        <w:spacing w:before="330" w:line="216" w:lineRule="auto"/>
        <w:outlineLvl w:val="1"/>
        <w:rPr>
          <w:sz w:val="30"/>
          <w:szCs w:val="30"/>
        </w:rPr>
      </w:pPr>
      <w:bookmarkStart w:name="bookmark50" w:id="35"/>
      <w:bookmarkEnd w:id="35"/>
      <w:bookmarkStart w:name="bookmark20" w:id="36"/>
      <w:bookmarkEnd w:id="36"/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3.4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核算数据的核查</w:t>
      </w:r>
    </w:p>
    <w:p>
      <w:pPr>
        <w:pStyle w:val="BodyText"/>
        <w:ind w:right="15"/>
        <w:spacing w:before="248" w:line="593" w:lineRule="exact"/>
        <w:jc w:val="right"/>
        <w:rPr/>
      </w:pPr>
      <w:r>
        <w:rPr>
          <w:spacing w:val="3"/>
          <w:position w:val="23"/>
        </w:rPr>
        <w:t>受核查方所涉及的活动水平数据、排放因子</w:t>
      </w:r>
      <w:r>
        <w:rPr>
          <w:rFonts w:ascii="Times New Roman" w:hAnsi="Times New Roman" w:eastAsia="Times New Roman" w:cs="Times New Roman"/>
          <w:spacing w:val="3"/>
          <w:position w:val="23"/>
        </w:rPr>
        <w:t>/</w:t>
      </w:r>
      <w:r>
        <w:rPr>
          <w:spacing w:val="3"/>
          <w:position w:val="23"/>
        </w:rPr>
        <w:t>计算</w:t>
      </w:r>
      <w:r>
        <w:rPr>
          <w:spacing w:val="2"/>
          <w:position w:val="23"/>
        </w:rPr>
        <w:t>系数如下表所</w:t>
      </w:r>
    </w:p>
    <w:p>
      <w:pPr>
        <w:pStyle w:val="BodyText"/>
        <w:ind w:left="45"/>
        <w:spacing w:before="1" w:line="220" w:lineRule="auto"/>
        <w:rPr/>
      </w:pPr>
      <w:r>
        <w:rPr>
          <w:spacing w:val="-14"/>
        </w:rPr>
        <w:t>示：</w:t>
      </w:r>
    </w:p>
    <w:p>
      <w:pPr>
        <w:spacing w:line="220" w:lineRule="auto"/>
        <w:sectPr>
          <w:headerReference w:type="default" r:id="rId10"/>
          <w:footerReference w:type="default" r:id="rId36"/>
          <w:pgSz w:w="11906" w:h="16839"/>
          <w:pgMar w:top="1172" w:right="1785" w:bottom="1245" w:left="1785" w:header="902" w:footer="1082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78"/>
        <w:spacing w:before="91" w:line="216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3-3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受核查方活动水平数据、排放因子</w:t>
      </w:r>
      <w:r>
        <w:rPr>
          <w:rFonts w:ascii="Times New Roman" w:hAnsi="Times New Roman" w:eastAsia="Times New Roman" w:cs="Times New Roman"/>
          <w:b/>
          <w:bCs/>
        </w:rPr>
        <w:t>/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计算系数清单</w:t>
      </w:r>
    </w:p>
    <w:p>
      <w:pPr>
        <w:spacing w:line="108" w:lineRule="exact"/>
        <w:rPr/>
      </w:pPr>
      <w:r/>
    </w:p>
    <w:tbl>
      <w:tblPr>
        <w:tblStyle w:val="TableNormal"/>
        <w:tblW w:w="851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26"/>
        <w:gridCol w:w="2203"/>
        <w:gridCol w:w="3288"/>
      </w:tblGrid>
      <w:tr>
        <w:trPr>
          <w:trHeight w:val="632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041"/>
              <w:spacing w:before="195" w:line="222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排放类型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397"/>
              <w:spacing w:before="195" w:line="223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活动水平数据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657"/>
              <w:spacing w:before="194" w:line="222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排放因子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/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计算系数</w:t>
            </w:r>
          </w:p>
        </w:tc>
      </w:tr>
      <w:tr>
        <w:trPr>
          <w:trHeight w:val="793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052" w:right="190" w:hanging="845"/>
              <w:spacing w:before="77" w:line="263" w:lineRule="auto"/>
              <w:rPr/>
            </w:pPr>
            <w:r>
              <w:rPr>
                <w:spacing w:val="-2"/>
              </w:rPr>
              <w:t>净购入使用的电力对应的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636"/>
              <w:spacing w:before="275" w:line="223" w:lineRule="auto"/>
              <w:rPr/>
            </w:pPr>
            <w:r>
              <w:rPr>
                <w:spacing w:val="-5"/>
              </w:rPr>
              <w:t>外购电力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699"/>
              <w:spacing w:before="276" w:line="222" w:lineRule="auto"/>
              <w:rPr/>
            </w:pPr>
            <w:r>
              <w:rPr>
                <w:spacing w:val="-3"/>
              </w:rPr>
              <w:t>外购电力排放因子</w:t>
            </w:r>
          </w:p>
        </w:tc>
      </w:tr>
      <w:tr>
        <w:trPr>
          <w:trHeight w:val="798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30"/>
              <w:spacing w:before="277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化石燃料燃烧排放量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517"/>
              <w:spacing w:before="276" w:line="222" w:lineRule="auto"/>
              <w:rPr/>
            </w:pPr>
            <w:r>
              <w:rPr>
                <w:spacing w:val="-4"/>
              </w:rPr>
              <w:t>汽油消耗量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939" w:right="202" w:hanging="723"/>
              <w:spacing w:before="81" w:line="263" w:lineRule="auto"/>
              <w:rPr/>
            </w:pPr>
            <w:r>
              <w:rPr>
                <w:spacing w:val="-2"/>
              </w:rPr>
              <w:t>低位发热量、单位热值含碳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量、碳氧化率</w:t>
            </w:r>
          </w:p>
        </w:tc>
      </w:tr>
    </w:tbl>
    <w:p>
      <w:pPr>
        <w:pStyle w:val="BodyText"/>
        <w:ind w:left="678"/>
        <w:spacing w:before="156" w:line="222" w:lineRule="auto"/>
        <w:outlineLvl w:val="2"/>
        <w:rPr/>
      </w:pPr>
      <w:bookmarkStart w:name="bookmark51" w:id="37"/>
      <w:bookmarkEnd w:id="37"/>
      <w:bookmarkStart w:name="bookmark21" w:id="38"/>
      <w:bookmarkEnd w:id="38"/>
      <w:r>
        <w:rPr>
          <w:rFonts w:ascii="Times New Roman" w:hAnsi="Times New Roman" w:eastAsia="Times New Roman" w:cs="Times New Roman"/>
          <w:b/>
          <w:bCs/>
        </w:rPr>
        <w:t>3.4.1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活动水平数据及来源的核查</w:t>
      </w:r>
    </w:p>
    <w:p>
      <w:pPr>
        <w:pStyle w:val="BodyText"/>
        <w:ind w:left="131" w:right="111" w:firstLine="551"/>
        <w:spacing w:before="258" w:line="390" w:lineRule="auto"/>
        <w:jc w:val="both"/>
        <w:rPr/>
      </w:pPr>
      <w:r>
        <w:rPr>
          <w:spacing w:val="-4"/>
        </w:rPr>
        <w:t>核查组通过查阅支持性文件及访谈受核查方，对排放报告中的每</w:t>
      </w:r>
      <w:r>
        <w:rPr>
          <w:spacing w:val="1"/>
        </w:rPr>
        <w:t xml:space="preserve"> </w:t>
      </w:r>
      <w:r>
        <w:rPr>
          <w:spacing w:val="-4"/>
        </w:rPr>
        <w:t>一个活动水平的数据单位、数据来源、监测方法、监测频次、记录频</w:t>
      </w:r>
      <w:r>
        <w:rPr>
          <w:spacing w:val="1"/>
        </w:rPr>
        <w:t xml:space="preserve"> </w:t>
      </w:r>
      <w:r>
        <w:rPr>
          <w:spacing w:val="-4"/>
        </w:rPr>
        <w:t>次、数据缺失处理进行了核查，并对数据进行了交叉核对，具体结果</w:t>
      </w:r>
    </w:p>
    <w:p>
      <w:pPr>
        <w:pStyle w:val="BodyText"/>
        <w:ind w:left="131"/>
        <w:spacing w:before="1" w:line="217" w:lineRule="auto"/>
        <w:rPr/>
      </w:pPr>
      <w:r>
        <w:rPr>
          <w:spacing w:val="-6"/>
        </w:rPr>
        <w:t>如下：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700"/>
        <w:spacing w:before="91" w:line="218" w:lineRule="auto"/>
        <w:outlineLvl w:val="3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活动水平数据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1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：净购入使用电力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2223"/>
        <w:spacing w:before="91" w:line="218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3-4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对净购入使用电力的核查</w:t>
      </w:r>
    </w:p>
    <w:p>
      <w:pPr>
        <w:spacing w:line="106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2858"/>
        <w:gridCol w:w="3733"/>
      </w:tblGrid>
      <w:tr>
        <w:trPr>
          <w:trHeight w:val="40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57"/>
              <w:spacing w:before="96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数据值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ind w:left="127"/>
              <w:spacing w:before="13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164.2052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57"/>
              <w:spacing w:before="9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数据项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8"/>
              <w:spacing w:before="9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净购入使用电力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768"/>
              <w:spacing w:before="9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单位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8"/>
              <w:spacing w:before="95" w:line="23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万</w:t>
            </w:r>
            <w:r>
              <w:rPr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kWh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554"/>
              <w:spacing w:before="93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数据来源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6"/>
              <w:spacing w:before="9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《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8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年度企业能源消耗台账》《能源购进、消费与</w:t>
            </w:r>
            <w:r>
              <w:rPr>
                <w:sz w:val="20"/>
                <w:szCs w:val="20"/>
                <w:spacing w:val="7"/>
              </w:rPr>
              <w:t>库存表》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561"/>
              <w:spacing w:before="9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监测方法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39"/>
              <w:spacing w:before="32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电表计量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561"/>
              <w:spacing w:before="92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监测频次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7"/>
              <w:spacing w:before="3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连续计量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553"/>
              <w:spacing w:before="9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记录频次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24"/>
              <w:spacing w:before="32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每月抄表、年度汇总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343"/>
              <w:spacing w:before="9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数据缺失处理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6"/>
              <w:spacing w:before="9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数据无缺失</w:t>
            </w:r>
          </w:p>
        </w:tc>
      </w:tr>
      <w:tr>
        <w:trPr>
          <w:trHeight w:val="549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560"/>
              <w:spacing w:before="16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交叉核对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27"/>
              <w:spacing w:before="33" w:line="229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1</w:t>
            </w:r>
            <w:r>
              <w:rPr>
                <w:sz w:val="20"/>
                <w:szCs w:val="20"/>
                <w:spacing w:val="6"/>
              </w:rPr>
              <w:t>）《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1"/>
                <w:w w:val="10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年度企业能源消耗台账》全部核查；</w:t>
            </w:r>
          </w:p>
          <w:p>
            <w:pPr>
              <w:pStyle w:val="TableText"/>
              <w:ind w:left="107"/>
              <w:spacing w:before="24" w:line="21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2</w:t>
            </w:r>
            <w:r>
              <w:rPr>
                <w:sz w:val="20"/>
                <w:szCs w:val="20"/>
                <w:spacing w:val="8"/>
              </w:rPr>
              <w:t>）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年度《能源购进、消费与库存</w:t>
            </w:r>
            <w:r>
              <w:rPr>
                <w:sz w:val="20"/>
                <w:szCs w:val="20"/>
                <w:spacing w:val="7"/>
              </w:rPr>
              <w:t>表》全部核查。</w:t>
            </w:r>
          </w:p>
        </w:tc>
      </w:tr>
      <w:tr>
        <w:trPr>
          <w:trHeight w:val="548" w:hRule="atLeast"/>
        </w:trPr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交叉核对数据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1227" w:right="143" w:hanging="1075"/>
              <w:spacing w:before="33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《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年度企业能源消耗台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账》</w:t>
            </w:r>
          </w:p>
        </w:tc>
        <w:tc>
          <w:tcPr>
            <w:tcW w:w="3733" w:type="dxa"/>
            <w:vAlign w:val="top"/>
          </w:tcPr>
          <w:p>
            <w:pPr>
              <w:pStyle w:val="TableText"/>
              <w:ind w:left="510"/>
              <w:spacing w:before="16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《能源购进、消费与库存表》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8" w:type="dxa"/>
            <w:vAlign w:val="top"/>
          </w:tcPr>
          <w:p>
            <w:pPr>
              <w:ind w:left="1056"/>
              <w:spacing w:before="13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164.2052</w:t>
            </w:r>
          </w:p>
        </w:tc>
        <w:tc>
          <w:tcPr>
            <w:tcW w:w="3733" w:type="dxa"/>
            <w:vAlign w:val="top"/>
          </w:tcPr>
          <w:p>
            <w:pPr>
              <w:ind w:left="1493"/>
              <w:spacing w:before="13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164.2052</w:t>
            </w:r>
          </w:p>
        </w:tc>
      </w:tr>
      <w:tr>
        <w:trPr>
          <w:trHeight w:val="1094" w:hRule="atLeast"/>
        </w:trPr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20" w:right="108" w:hanging="4"/>
              <w:spacing w:before="3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经核查，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年《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年度企业能</w:t>
            </w:r>
            <w:r>
              <w:rPr>
                <w:sz w:val="20"/>
                <w:szCs w:val="20"/>
                <w:spacing w:val="6"/>
              </w:rPr>
              <w:t>源消耗台账》与《能源购进、消费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与库存表》</w:t>
            </w:r>
            <w:r>
              <w:rPr>
                <w:sz w:val="20"/>
                <w:szCs w:val="20"/>
                <w:spacing w:val="-44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中电力消耗量相同。核查组确认受核查方以《能源购进、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消费与库存表》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中的电力消耗量数据作为数据源是合理的，符合</w:t>
            </w:r>
            <w:r>
              <w:rPr>
                <w:sz w:val="20"/>
                <w:szCs w:val="20"/>
                <w:spacing w:val="9"/>
              </w:rPr>
              <w:t>指南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要求；</w:t>
            </w:r>
          </w:p>
        </w:tc>
      </w:tr>
      <w:tr>
        <w:trPr>
          <w:trHeight w:val="553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554"/>
              <w:spacing w:before="16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核查结论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22" w:right="108" w:hanging="6"/>
              <w:spacing w:before="36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核查组确认最终版排放报告中的</w:t>
            </w:r>
            <w:r>
              <w:rPr>
                <w:sz w:val="20"/>
                <w:szCs w:val="20"/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2025 </w:t>
            </w:r>
            <w:r>
              <w:rPr>
                <w:sz w:val="20"/>
                <w:szCs w:val="20"/>
                <w:spacing w:val="8"/>
              </w:rPr>
              <w:t>年度外购电力消耗量数据源选取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合理，数据准确。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footerReference w:type="default" r:id="rId40"/>
          <w:pgSz w:w="11906" w:h="16839"/>
          <w:pgMar w:top="1172" w:right="1690" w:bottom="1245" w:left="1690" w:header="902" w:footer="108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789"/>
        <w:spacing w:before="91" w:line="218" w:lineRule="auto"/>
        <w:outlineLvl w:val="3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活动水平数据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2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：汽油使用量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3064"/>
        <w:spacing w:before="101" w:line="222" w:lineRule="auto"/>
        <w:outlineLvl w:val="1"/>
        <w:rPr>
          <w:sz w:val="31"/>
          <w:szCs w:val="31"/>
        </w:rPr>
      </w:pPr>
      <w:r>
        <w:rPr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表</w:t>
      </w:r>
      <w:r>
        <w:rPr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3-5    </w:t>
      </w:r>
      <w:r>
        <w:rPr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汽油使用量的核查</w:t>
      </w:r>
    </w:p>
    <w:p>
      <w:pPr>
        <w:spacing w:line="178" w:lineRule="exact"/>
        <w:rPr/>
      </w:pPr>
      <w:r/>
    </w:p>
    <w:tbl>
      <w:tblPr>
        <w:tblStyle w:val="TableNormal"/>
        <w:tblW w:w="86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69"/>
        <w:gridCol w:w="3522"/>
        <w:gridCol w:w="3206"/>
      </w:tblGrid>
      <w:tr>
        <w:trPr>
          <w:trHeight w:val="47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679"/>
              <w:spacing w:before="13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数据值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ind w:left="108"/>
              <w:spacing w:before="16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22727</w:t>
            </w:r>
          </w:p>
        </w:tc>
      </w:tr>
      <w:tr>
        <w:trPr>
          <w:trHeight w:val="470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679"/>
              <w:spacing w:before="12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数据项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21"/>
              <w:spacing w:before="12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汽油</w:t>
            </w:r>
          </w:p>
        </w:tc>
      </w:tr>
      <w:tr>
        <w:trPr>
          <w:trHeight w:val="470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790"/>
              <w:spacing w:before="12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单位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21"/>
              <w:spacing w:before="12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升</w:t>
            </w:r>
          </w:p>
        </w:tc>
      </w:tr>
      <w:tr>
        <w:trPr>
          <w:trHeight w:val="470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574"/>
              <w:spacing w:before="128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数据来源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17"/>
              <w:spacing w:before="12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《汽油发票数据》</w:t>
            </w:r>
          </w:p>
        </w:tc>
      </w:tr>
      <w:tr>
        <w:trPr>
          <w:trHeight w:val="470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580"/>
              <w:spacing w:before="12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监测方法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21"/>
              <w:spacing w:before="12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汽油加油发票</w:t>
            </w:r>
          </w:p>
        </w:tc>
      </w:tr>
      <w:tr>
        <w:trPr>
          <w:trHeight w:val="470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580"/>
              <w:spacing w:before="12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监测频次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18"/>
              <w:spacing w:before="12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连续计数</w:t>
            </w:r>
          </w:p>
        </w:tc>
      </w:tr>
      <w:tr>
        <w:trPr>
          <w:trHeight w:val="470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572"/>
              <w:spacing w:before="12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记录频次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25"/>
              <w:spacing w:before="12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每月计数、年度汇总</w:t>
            </w:r>
          </w:p>
        </w:tc>
      </w:tr>
      <w:tr>
        <w:trPr>
          <w:trHeight w:val="469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362"/>
              <w:spacing w:before="12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数据缺失处理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17"/>
              <w:spacing w:before="12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数据无缺失</w:t>
            </w:r>
          </w:p>
        </w:tc>
      </w:tr>
      <w:tr>
        <w:trPr>
          <w:trHeight w:val="548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579"/>
              <w:spacing w:before="16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交叉核对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28"/>
              <w:spacing w:before="31" w:line="274" w:lineRule="exac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  <w:position w:val="4"/>
              </w:rPr>
              <w:t>1</w:t>
            </w:r>
            <w:r>
              <w:rPr>
                <w:sz w:val="20"/>
                <w:szCs w:val="20"/>
                <w:spacing w:val="6"/>
                <w:position w:val="4"/>
              </w:rPr>
              <w:t>）《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  <w:position w:val="4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1"/>
                <w:w w:val="101"/>
                <w:position w:val="4"/>
              </w:rPr>
              <w:t xml:space="preserve"> </w:t>
            </w:r>
            <w:r>
              <w:rPr>
                <w:sz w:val="20"/>
                <w:szCs w:val="20"/>
                <w:spacing w:val="6"/>
                <w:position w:val="4"/>
              </w:rPr>
              <w:t>年度企业能源消耗台账》全部核查；</w:t>
            </w:r>
          </w:p>
          <w:p>
            <w:pPr>
              <w:pStyle w:val="TableText"/>
              <w:ind w:left="108"/>
              <w:spacing w:line="21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2</w:t>
            </w:r>
            <w:r>
              <w:rPr>
                <w:sz w:val="20"/>
                <w:szCs w:val="20"/>
                <w:spacing w:val="7"/>
              </w:rPr>
              <w:t>）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年度《汽油发票数据》全部核查。</w:t>
            </w:r>
          </w:p>
        </w:tc>
      </w:tr>
      <w:tr>
        <w:trPr>
          <w:trHeight w:val="470" w:hRule="atLeast"/>
        </w:trPr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交叉核对数据</w:t>
            </w:r>
          </w:p>
        </w:tc>
        <w:tc>
          <w:tcPr>
            <w:tcW w:w="3522" w:type="dxa"/>
            <w:vAlign w:val="top"/>
          </w:tcPr>
          <w:p>
            <w:pPr>
              <w:pStyle w:val="TableText"/>
              <w:ind w:left="117"/>
              <w:spacing w:before="13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《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8"/>
                <w:w w:val="10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年度企业能源消耗台账》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21"/>
              <w:spacing w:before="13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《汽油发票数据》</w:t>
            </w:r>
          </w:p>
        </w:tc>
      </w:tr>
      <w:tr>
        <w:trPr>
          <w:trHeight w:val="469" w:hRule="atLeast"/>
        </w:trPr>
        <w:tc>
          <w:tcPr>
            <w:tcW w:w="1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2" w:type="dxa"/>
            <w:vAlign w:val="top"/>
          </w:tcPr>
          <w:p>
            <w:pPr>
              <w:ind w:left="108"/>
              <w:spacing w:before="16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22727</w:t>
            </w:r>
          </w:p>
        </w:tc>
        <w:tc>
          <w:tcPr>
            <w:tcW w:w="3206" w:type="dxa"/>
            <w:vAlign w:val="top"/>
          </w:tcPr>
          <w:p>
            <w:pPr>
              <w:ind w:left="111"/>
              <w:spacing w:before="16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22727</w:t>
            </w:r>
          </w:p>
        </w:tc>
      </w:tr>
      <w:tr>
        <w:trPr>
          <w:trHeight w:val="821" w:hRule="atLeast"/>
        </w:trPr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22" w:right="110" w:firstLine="16"/>
              <w:spacing w:before="34" w:line="23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因计量结算时间不同，经核算，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4"/>
                <w:w w:val="10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年《企业能源消耗台账》与《汽油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发票数据》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中汽油消耗量相同。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以《生产部门能</w:t>
            </w:r>
            <w:r>
              <w:rPr>
                <w:sz w:val="20"/>
                <w:szCs w:val="20"/>
                <w:spacing w:val="4"/>
              </w:rPr>
              <w:t>源消耗统计表》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中的汽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油消耗量数据作为数据源是合理的，符合指南要求；</w:t>
            </w:r>
          </w:p>
        </w:tc>
      </w:tr>
      <w:tr>
        <w:trPr>
          <w:trHeight w:val="47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782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核查结论</w:t>
            </w:r>
          </w:p>
        </w:tc>
        <w:tc>
          <w:tcPr>
            <w:tcW w:w="6728" w:type="dxa"/>
            <w:vAlign w:val="top"/>
            <w:gridSpan w:val="2"/>
          </w:tcPr>
          <w:p>
            <w:pPr>
              <w:pStyle w:val="TableText"/>
              <w:ind w:left="118"/>
              <w:spacing w:before="13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确认排放报告中的</w:t>
            </w:r>
            <w:r>
              <w:rPr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1"/>
                <w:w w:val="101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年度汽油消耗量数据源选</w:t>
            </w:r>
            <w:r>
              <w:rPr>
                <w:sz w:val="20"/>
                <w:szCs w:val="20"/>
                <w:spacing w:val="7"/>
              </w:rPr>
              <w:t>取合理，数据准确。</w:t>
            </w:r>
          </w:p>
        </w:tc>
      </w:tr>
    </w:tbl>
    <w:p>
      <w:pPr>
        <w:pStyle w:val="BodyText"/>
        <w:ind w:left="227" w:right="199" w:firstLine="558"/>
        <w:spacing w:before="155" w:line="391" w:lineRule="auto"/>
        <w:jc w:val="both"/>
        <w:rPr/>
      </w:pPr>
      <w:r>
        <w:rPr>
          <w:spacing w:val="-5"/>
        </w:rPr>
        <w:t>综上所述，通过文件评审和现场访问，核查组确认排放报告中活</w:t>
      </w:r>
      <w:r>
        <w:rPr>
          <w:spacing w:val="16"/>
        </w:rPr>
        <w:t xml:space="preserve"> </w:t>
      </w:r>
      <w:r>
        <w:rPr>
          <w:spacing w:val="-4"/>
        </w:rPr>
        <w:t>动水平数据及来源真实、可靠、正确，符合《工业其他</w:t>
      </w:r>
      <w:r>
        <w:rPr>
          <w:spacing w:val="-5"/>
        </w:rPr>
        <w:t>行业企业温室</w:t>
      </w:r>
    </w:p>
    <w:p>
      <w:pPr>
        <w:pStyle w:val="BodyText"/>
        <w:ind w:left="224"/>
        <w:spacing w:line="216" w:lineRule="auto"/>
        <w:rPr/>
      </w:pPr>
      <w:r>
        <w:rPr>
          <w:spacing w:val="-1"/>
        </w:rPr>
        <w:t>气体排放核算方法与报告指南（试行）》的要</w:t>
      </w:r>
      <w:r>
        <w:rPr>
          <w:spacing w:val="-2"/>
        </w:rPr>
        <w:t>求。</w:t>
      </w:r>
    </w:p>
    <w:p>
      <w:pPr>
        <w:pStyle w:val="BodyText"/>
        <w:ind w:left="767"/>
        <w:spacing w:before="265" w:line="217" w:lineRule="auto"/>
        <w:outlineLvl w:val="2"/>
        <w:rPr/>
      </w:pPr>
      <w:bookmarkStart w:name="bookmark52" w:id="39"/>
      <w:bookmarkEnd w:id="39"/>
      <w:bookmarkStart w:name="bookmark22" w:id="40"/>
      <w:bookmarkEnd w:id="40"/>
      <w:r>
        <w:rPr>
          <w:rFonts w:ascii="Times New Roman" w:hAnsi="Times New Roman" w:eastAsia="Times New Roman" w:cs="Times New Roman"/>
          <w:b/>
          <w:bCs/>
        </w:rPr>
        <w:t>3.4.2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排放因子和计算系数数据及来源的核查</w:t>
      </w:r>
    </w:p>
    <w:p>
      <w:pPr>
        <w:pStyle w:val="BodyText"/>
        <w:ind w:left="220" w:right="124" w:firstLine="551"/>
        <w:spacing w:before="265" w:line="390" w:lineRule="auto"/>
        <w:jc w:val="both"/>
        <w:rPr/>
      </w:pPr>
      <w:r>
        <w:rPr>
          <w:spacing w:val="-4"/>
        </w:rPr>
        <w:t>核查组通过查阅支持性文件及访谈受核查方，对排放报告中的每</w:t>
      </w:r>
      <w:r>
        <w:rPr>
          <w:spacing w:val="1"/>
        </w:rPr>
        <w:t xml:space="preserve"> </w:t>
      </w:r>
      <w:r>
        <w:rPr>
          <w:spacing w:val="-4"/>
        </w:rPr>
        <w:t>一个排放因子和计算系数的数据单位、数据来源、监测方法、监测频</w:t>
      </w:r>
      <w:r>
        <w:rPr>
          <w:spacing w:val="1"/>
        </w:rPr>
        <w:t xml:space="preserve"> </w:t>
      </w:r>
      <w:r>
        <w:rPr>
          <w:spacing w:val="-11"/>
        </w:rPr>
        <w:t>次、记录频次、数据缺失处理进行了核查，并对数据进行了交叉核对，</w:t>
      </w:r>
    </w:p>
    <w:p>
      <w:pPr>
        <w:pStyle w:val="BodyText"/>
        <w:ind w:left="220"/>
        <w:spacing w:before="1" w:line="217" w:lineRule="auto"/>
        <w:rPr/>
      </w:pPr>
      <w:r>
        <w:rPr>
          <w:spacing w:val="-3"/>
        </w:rPr>
        <w:t>具体结果如下：</w:t>
      </w:r>
    </w:p>
    <w:p>
      <w:pPr>
        <w:spacing w:line="217" w:lineRule="auto"/>
        <w:sectPr>
          <w:headerReference w:type="default" r:id="rId41"/>
          <w:footerReference w:type="default" r:id="rId42"/>
          <w:pgSz w:w="11906" w:h="16839"/>
          <w:pgMar w:top="1172" w:right="1602" w:bottom="1245" w:left="1601" w:header="902" w:footer="1082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26"/>
        <w:spacing w:before="91" w:line="217" w:lineRule="auto"/>
        <w:outlineLvl w:val="3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排放因子和计算系数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1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：外购电力排放因子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2093"/>
        <w:spacing w:before="91" w:line="223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3-6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对外购电力排放因子的核查</w:t>
      </w:r>
    </w:p>
    <w:p>
      <w:pPr>
        <w:spacing w:line="99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6591"/>
      </w:tblGrid>
      <w:tr>
        <w:trPr>
          <w:trHeight w:val="40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82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数据值</w:t>
            </w:r>
          </w:p>
        </w:tc>
        <w:tc>
          <w:tcPr>
            <w:tcW w:w="6591" w:type="dxa"/>
            <w:vAlign w:val="top"/>
          </w:tcPr>
          <w:p>
            <w:pPr>
              <w:ind w:left="114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0.5500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79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数据项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26"/>
              <w:spacing w:before="80" w:line="217" w:lineRule="auto"/>
              <w:rPr/>
            </w:pPr>
            <w:r>
              <w:rPr>
                <w:spacing w:val="-3"/>
              </w:rPr>
              <w:t>外购电力排放因子</w:t>
            </w:r>
          </w:p>
        </w:tc>
      </w:tr>
      <w:tr>
        <w:trPr>
          <w:trHeight w:val="315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736"/>
              <w:spacing w:before="38" w:line="205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单位</w:t>
            </w:r>
          </w:p>
        </w:tc>
        <w:tc>
          <w:tcPr>
            <w:tcW w:w="6591" w:type="dxa"/>
            <w:vAlign w:val="top"/>
          </w:tcPr>
          <w:p>
            <w:pPr>
              <w:ind w:left="107"/>
              <w:spacing w:before="74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kgCO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/kWh</w:t>
            </w:r>
          </w:p>
        </w:tc>
      </w:tr>
      <w:tr>
        <w:trPr>
          <w:trHeight w:val="627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7"/>
              <w:spacing w:before="194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数据来源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5" w:right="108" w:hanging="5"/>
              <w:spacing w:before="39" w:line="222" w:lineRule="auto"/>
              <w:rPr/>
            </w:pPr>
            <w:r>
              <w:rPr/>
              <w:t>《生态环境部、国家统计局关于发布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2023 </w:t>
            </w:r>
            <w:r>
              <w:rPr/>
              <w:t>年电力二氧化碳排</w:t>
            </w:r>
            <w:r>
              <w:rPr/>
              <w:t xml:space="preserve"> </w:t>
            </w:r>
            <w:r>
              <w:rPr>
                <w:spacing w:val="-2"/>
              </w:rPr>
              <w:t>放因子的公告》</w:t>
            </w:r>
          </w:p>
        </w:tc>
      </w:tr>
      <w:tr>
        <w:trPr>
          <w:trHeight w:val="630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0"/>
              <w:spacing w:before="195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核查结论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6" w:right="108" w:hanging="3"/>
              <w:spacing w:before="40" w:line="223" w:lineRule="auto"/>
              <w:rPr/>
            </w:pPr>
            <w:r>
              <w:rPr>
                <w:spacing w:val="4"/>
              </w:rPr>
              <w:t>核查组确认最终版排放报告中的外购电力排放因子数据源选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取合理，数据准确。</w:t>
            </w:r>
          </w:p>
        </w:tc>
      </w:tr>
    </w:tbl>
    <w:p>
      <w:pPr>
        <w:pStyle w:val="BodyText"/>
        <w:ind w:left="2235"/>
        <w:spacing w:before="154" w:line="222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3-7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对单位热值含碳量的核查</w:t>
      </w:r>
    </w:p>
    <w:p>
      <w:pPr>
        <w:spacing w:line="102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6591"/>
      </w:tblGrid>
      <w:tr>
        <w:trPr>
          <w:trHeight w:val="40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82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数据值</w:t>
            </w:r>
          </w:p>
        </w:tc>
        <w:tc>
          <w:tcPr>
            <w:tcW w:w="6591" w:type="dxa"/>
            <w:vAlign w:val="top"/>
          </w:tcPr>
          <w:p>
            <w:pPr>
              <w:ind w:left="114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0.0189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79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数据项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20"/>
              <w:spacing w:before="79" w:line="216" w:lineRule="auto"/>
              <w:rPr/>
            </w:pPr>
            <w:r>
              <w:rPr>
                <w:spacing w:val="-3"/>
              </w:rPr>
              <w:t>单位热值含碳量</w:t>
            </w:r>
          </w:p>
        </w:tc>
      </w:tr>
      <w:tr>
        <w:trPr>
          <w:trHeight w:val="315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736"/>
              <w:spacing w:before="38" w:line="205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单位</w:t>
            </w:r>
          </w:p>
        </w:tc>
        <w:tc>
          <w:tcPr>
            <w:tcW w:w="6591" w:type="dxa"/>
            <w:vAlign w:val="top"/>
          </w:tcPr>
          <w:p>
            <w:pPr>
              <w:ind w:left="107"/>
              <w:spacing w:before="7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tC/GJ</w:t>
            </w:r>
          </w:p>
        </w:tc>
      </w:tr>
      <w:tr>
        <w:trPr>
          <w:trHeight w:val="627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7"/>
              <w:spacing w:before="196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数据来源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4" w:right="106" w:hanging="4"/>
              <w:spacing w:before="39" w:line="222" w:lineRule="auto"/>
              <w:rPr/>
            </w:pPr>
            <w:r>
              <w:rPr>
                <w:spacing w:val="5"/>
              </w:rPr>
              <w:t>《工业其他行业企业温室气体排放核算方法与报告指南</w:t>
            </w:r>
            <w:r>
              <w:rPr>
                <w:spacing w:val="4"/>
              </w:rPr>
              <w:t>（试</w:t>
            </w:r>
            <w:r>
              <w:rPr/>
              <w:t xml:space="preserve"> </w:t>
            </w:r>
            <w:r>
              <w:rPr>
                <w:spacing w:val="-2"/>
              </w:rPr>
              <w:t>行）》缺省值</w:t>
            </w:r>
          </w:p>
        </w:tc>
      </w:tr>
      <w:tr>
        <w:trPr>
          <w:trHeight w:val="630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0"/>
              <w:spacing w:before="195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核查结论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6" w:right="108" w:hanging="3"/>
              <w:spacing w:before="40" w:line="223" w:lineRule="auto"/>
              <w:rPr/>
            </w:pPr>
            <w:r>
              <w:rPr>
                <w:spacing w:val="4"/>
              </w:rPr>
              <w:t>核查组确认最终版排放报告中的单位热值含碳量数据源选取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合理，数据准确。</w:t>
            </w:r>
          </w:p>
        </w:tc>
      </w:tr>
    </w:tbl>
    <w:p>
      <w:pPr>
        <w:pStyle w:val="BodyText"/>
        <w:ind w:left="2655"/>
        <w:spacing w:before="157" w:line="223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3-8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对碳氧化率的核查</w:t>
      </w:r>
    </w:p>
    <w:p>
      <w:pPr>
        <w:spacing w:line="98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6591"/>
      </w:tblGrid>
      <w:tr>
        <w:trPr>
          <w:trHeight w:val="40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81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数据值</w:t>
            </w:r>
          </w:p>
        </w:tc>
        <w:tc>
          <w:tcPr>
            <w:tcW w:w="6591" w:type="dxa"/>
            <w:vAlign w:val="top"/>
          </w:tcPr>
          <w:p>
            <w:pPr>
              <w:ind w:left="115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78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数据项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0"/>
              <w:spacing w:before="79" w:line="217" w:lineRule="auto"/>
              <w:rPr/>
            </w:pPr>
            <w:r>
              <w:rPr>
                <w:spacing w:val="-2"/>
              </w:rPr>
              <w:t>碳氧化率</w:t>
            </w:r>
          </w:p>
        </w:tc>
      </w:tr>
      <w:tr>
        <w:trPr>
          <w:trHeight w:val="315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736"/>
              <w:spacing w:before="37" w:line="20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单位</w:t>
            </w:r>
          </w:p>
        </w:tc>
        <w:tc>
          <w:tcPr>
            <w:tcW w:w="6591" w:type="dxa"/>
            <w:vAlign w:val="top"/>
          </w:tcPr>
          <w:p>
            <w:pPr>
              <w:ind w:left="113"/>
              <w:spacing w:before="7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62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7"/>
              <w:spacing w:before="193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数据来源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4" w:right="106" w:hanging="4"/>
              <w:spacing w:before="38" w:line="222" w:lineRule="auto"/>
              <w:rPr/>
            </w:pPr>
            <w:r>
              <w:rPr>
                <w:spacing w:val="5"/>
              </w:rPr>
              <w:t>《工业其他行业企业温室气体排放核算方法与报告指南</w:t>
            </w:r>
            <w:r>
              <w:rPr>
                <w:spacing w:val="4"/>
              </w:rPr>
              <w:t>（试</w:t>
            </w:r>
            <w:r>
              <w:rPr/>
              <w:t xml:space="preserve"> </w:t>
            </w:r>
            <w:r>
              <w:rPr>
                <w:spacing w:val="-2"/>
              </w:rPr>
              <w:t>行）》缺省值</w:t>
            </w:r>
          </w:p>
        </w:tc>
      </w:tr>
      <w:tr>
        <w:trPr>
          <w:trHeight w:val="63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0"/>
              <w:spacing w:before="195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核查结论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6" w:right="106" w:hanging="3"/>
              <w:spacing w:before="41" w:line="223" w:lineRule="auto"/>
              <w:rPr/>
            </w:pPr>
            <w:r>
              <w:rPr>
                <w:spacing w:val="-4"/>
              </w:rPr>
              <w:t>核查组确认最终版排放报告中的碳氧化率数据</w:t>
            </w:r>
            <w:r>
              <w:rPr>
                <w:spacing w:val="-5"/>
              </w:rPr>
              <w:t>源选取合理，数</w:t>
            </w:r>
            <w:r>
              <w:rPr/>
              <w:t xml:space="preserve"> </w:t>
            </w:r>
            <w:r>
              <w:rPr>
                <w:spacing w:val="-4"/>
              </w:rPr>
              <w:t>据准确。</w:t>
            </w:r>
          </w:p>
        </w:tc>
      </w:tr>
    </w:tbl>
    <w:p>
      <w:pPr>
        <w:pStyle w:val="BodyText"/>
        <w:ind w:left="2516"/>
        <w:spacing w:before="154" w:line="222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3-9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对低位发热量的核查</w:t>
      </w:r>
    </w:p>
    <w:p>
      <w:pPr>
        <w:spacing w:line="102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6591"/>
      </w:tblGrid>
      <w:tr>
        <w:trPr>
          <w:trHeight w:val="40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84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数据值</w:t>
            </w:r>
          </w:p>
        </w:tc>
        <w:tc>
          <w:tcPr>
            <w:tcW w:w="6591" w:type="dxa"/>
            <w:vAlign w:val="top"/>
          </w:tcPr>
          <w:p>
            <w:pPr>
              <w:ind w:left="109"/>
              <w:spacing w:before="1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44.8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7"/>
              <w:spacing w:before="79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数据项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2"/>
              <w:spacing w:before="79" w:line="216" w:lineRule="auto"/>
              <w:rPr/>
            </w:pPr>
            <w:r>
              <w:rPr>
                <w:spacing w:val="-2"/>
              </w:rPr>
              <w:t>低位发热量</w:t>
            </w:r>
          </w:p>
        </w:tc>
      </w:tr>
      <w:tr>
        <w:trPr>
          <w:trHeight w:val="31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736"/>
              <w:spacing w:before="38" w:line="20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单位</w:t>
            </w:r>
          </w:p>
        </w:tc>
        <w:tc>
          <w:tcPr>
            <w:tcW w:w="6591" w:type="dxa"/>
            <w:vAlign w:val="top"/>
          </w:tcPr>
          <w:p>
            <w:pPr>
              <w:ind w:left="113"/>
              <w:spacing w:before="74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GJ/t</w:t>
            </w:r>
          </w:p>
        </w:tc>
      </w:tr>
      <w:tr>
        <w:trPr>
          <w:trHeight w:val="62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7"/>
              <w:spacing w:before="195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数据来源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14" w:right="106" w:hanging="4"/>
              <w:spacing w:before="38" w:line="222" w:lineRule="auto"/>
              <w:rPr/>
            </w:pPr>
            <w:r>
              <w:rPr>
                <w:spacing w:val="5"/>
              </w:rPr>
              <w:t>《工业其他行业企业温室气体排放核算方法与报告指南</w:t>
            </w:r>
            <w:r>
              <w:rPr>
                <w:spacing w:val="4"/>
              </w:rPr>
              <w:t>（试</w:t>
            </w:r>
            <w:r>
              <w:rPr/>
              <w:t xml:space="preserve"> </w:t>
            </w:r>
            <w:r>
              <w:rPr>
                <w:spacing w:val="-2"/>
              </w:rPr>
              <w:t>行）》缺省值</w:t>
            </w:r>
          </w:p>
        </w:tc>
      </w:tr>
      <w:tr>
        <w:trPr>
          <w:trHeight w:val="63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0"/>
              <w:spacing w:before="194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核查结论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20" w:right="60" w:hanging="7"/>
              <w:spacing w:before="41" w:line="223" w:lineRule="auto"/>
              <w:rPr/>
            </w:pPr>
            <w:r>
              <w:rPr>
                <w:spacing w:val="-3"/>
              </w:rPr>
              <w:t>核查组确认最终版排放报告中的低位发热量数据源选取合理，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数据准确。</w:t>
            </w:r>
          </w:p>
        </w:tc>
      </w:tr>
    </w:tbl>
    <w:p>
      <w:pPr>
        <w:pStyle w:val="BodyText"/>
        <w:ind w:left="696"/>
        <w:spacing w:before="157" w:line="592" w:lineRule="exact"/>
        <w:rPr/>
      </w:pPr>
      <w:r>
        <w:rPr>
          <w:spacing w:val="-5"/>
          <w:position w:val="23"/>
        </w:rPr>
        <w:t>综上所述，通过文件评审和现场访问，核查组确认排放报告中排</w:t>
      </w:r>
    </w:p>
    <w:p>
      <w:pPr>
        <w:pStyle w:val="BodyText"/>
        <w:ind w:left="124"/>
        <w:spacing w:before="1" w:line="216" w:lineRule="auto"/>
        <w:rPr/>
      </w:pPr>
      <w:r>
        <w:rPr>
          <w:spacing w:val="-4"/>
        </w:rPr>
        <w:t>放因子和计算系数数据及来源真实、可靠、正确，符合《工业其他行</w:t>
      </w:r>
    </w:p>
    <w:p>
      <w:pPr>
        <w:spacing w:line="216" w:lineRule="auto"/>
        <w:sectPr>
          <w:headerReference w:type="default" r:id="rId14"/>
          <w:footerReference w:type="default" r:id="rId43"/>
          <w:pgSz w:w="11906" w:h="16839"/>
          <w:pgMar w:top="1172" w:right="1690" w:bottom="1245" w:left="1690" w:header="902" w:footer="1083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35"/>
        <w:spacing w:before="91" w:line="216" w:lineRule="auto"/>
        <w:rPr/>
      </w:pPr>
      <w:r>
        <w:rPr>
          <w:spacing w:val="-1"/>
        </w:rPr>
        <w:t>业企业温室气体排放核算方法与报告指南（试行）》的要求。</w:t>
      </w:r>
    </w:p>
    <w:p>
      <w:pPr>
        <w:pStyle w:val="BodyText"/>
        <w:ind w:left="678"/>
        <w:spacing w:before="263" w:line="223" w:lineRule="auto"/>
        <w:outlineLvl w:val="2"/>
        <w:rPr/>
      </w:pPr>
      <w:bookmarkStart w:name="bookmark53" w:id="41"/>
      <w:bookmarkEnd w:id="41"/>
      <w:bookmarkStart w:name="bookmark23" w:id="42"/>
      <w:bookmarkEnd w:id="42"/>
      <w:r>
        <w:rPr>
          <w:rFonts w:ascii="Times New Roman" w:hAnsi="Times New Roman" w:eastAsia="Times New Roman" w:cs="Times New Roman"/>
          <w:b/>
          <w:bCs/>
        </w:rPr>
        <w:t>3.4.3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法人边界排放量的核查</w:t>
      </w:r>
    </w:p>
    <w:p>
      <w:pPr>
        <w:pStyle w:val="BodyText"/>
        <w:ind w:left="126" w:right="111" w:firstLine="564"/>
        <w:spacing w:before="255" w:line="390" w:lineRule="auto"/>
        <w:jc w:val="both"/>
        <w:rPr/>
      </w:pPr>
      <w:r>
        <w:rPr/>
        <w:t>通过对受核查方提交的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2025 </w:t>
      </w:r>
      <w:r>
        <w:rPr/>
        <w:t>年度排放报告进行核查，核查组对</w:t>
      </w:r>
      <w:r>
        <w:rPr/>
        <w:t xml:space="preserve"> </w:t>
      </w:r>
      <w:r>
        <w:rPr>
          <w:spacing w:val="-4"/>
        </w:rPr>
        <w:t>排放报告进行验算后确认受核查方的排放量计算公式正确，排放量的</w:t>
      </w:r>
    </w:p>
    <w:p>
      <w:pPr>
        <w:pStyle w:val="BodyText"/>
        <w:ind w:left="137"/>
        <w:spacing w:line="217" w:lineRule="auto"/>
        <w:rPr/>
      </w:pPr>
      <w:r>
        <w:rPr>
          <w:spacing w:val="-2"/>
        </w:rPr>
        <w:t>累加正确，排放量的计算可再现。</w:t>
      </w:r>
    </w:p>
    <w:p>
      <w:pPr>
        <w:pStyle w:val="BodyText"/>
        <w:ind w:left="696"/>
        <w:spacing w:before="263" w:line="217" w:lineRule="auto"/>
        <w:rPr/>
      </w:pPr>
      <w:r>
        <w:rPr>
          <w:spacing w:val="-1"/>
        </w:rPr>
        <w:t>受核查方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2025 </w:t>
      </w:r>
      <w:r>
        <w:rPr>
          <w:spacing w:val="-1"/>
        </w:rPr>
        <w:t>年度碳排放量计算如下</w:t>
      </w:r>
      <w:r>
        <w:rPr>
          <w:spacing w:val="-2"/>
        </w:rPr>
        <w:t>表所示。</w:t>
      </w:r>
    </w:p>
    <w:p>
      <w:pPr>
        <w:pStyle w:val="BodyText"/>
        <w:ind w:left="1659"/>
        <w:spacing w:before="264" w:line="217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3-10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净购入使用电力产生的排放量计算</w:t>
      </w:r>
    </w:p>
    <w:p>
      <w:pPr>
        <w:spacing w:line="108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67"/>
        <w:gridCol w:w="3237"/>
        <w:gridCol w:w="2616"/>
      </w:tblGrid>
      <w:tr>
        <w:trPr>
          <w:trHeight w:val="405" w:hRule="atLeast"/>
        </w:trPr>
        <w:tc>
          <w:tcPr>
            <w:tcW w:w="2667" w:type="dxa"/>
            <w:vAlign w:val="top"/>
          </w:tcPr>
          <w:p>
            <w:pPr>
              <w:pStyle w:val="TableText"/>
              <w:ind w:left="504"/>
              <w:spacing w:before="82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净购入使用电力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672"/>
              <w:spacing w:before="82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外购电力排放因子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714"/>
              <w:spacing w:before="82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4"/>
                <w:w w:val="102"/>
                <w:position w:val="-1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排放量</w:t>
            </w:r>
          </w:p>
        </w:tc>
      </w:tr>
      <w:tr>
        <w:trPr>
          <w:trHeight w:val="401" w:hRule="atLeast"/>
        </w:trPr>
        <w:tc>
          <w:tcPr>
            <w:tcW w:w="2667" w:type="dxa"/>
            <w:vAlign w:val="top"/>
          </w:tcPr>
          <w:p>
            <w:pPr>
              <w:ind w:left="1056"/>
              <w:spacing w:before="116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MWh</w:t>
            </w:r>
          </w:p>
        </w:tc>
        <w:tc>
          <w:tcPr>
            <w:tcW w:w="3237" w:type="dxa"/>
            <w:vAlign w:val="top"/>
          </w:tcPr>
          <w:p>
            <w:pPr>
              <w:ind w:left="1066"/>
              <w:spacing w:before="117" w:line="19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/MWh</w:t>
            </w:r>
          </w:p>
        </w:tc>
        <w:tc>
          <w:tcPr>
            <w:tcW w:w="2616" w:type="dxa"/>
            <w:vAlign w:val="top"/>
          </w:tcPr>
          <w:p>
            <w:pPr>
              <w:ind w:left="1067"/>
              <w:spacing w:before="121" w:line="19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  <w:position w:val="-1"/>
              </w:rPr>
              <w:t>2</w:t>
            </w:r>
          </w:p>
        </w:tc>
      </w:tr>
      <w:tr>
        <w:trPr>
          <w:trHeight w:val="401" w:hRule="atLeast"/>
        </w:trPr>
        <w:tc>
          <w:tcPr>
            <w:tcW w:w="2667" w:type="dxa"/>
            <w:vAlign w:val="top"/>
          </w:tcPr>
          <w:p>
            <w:pPr>
              <w:ind w:left="1246"/>
              <w:spacing w:before="120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237" w:type="dxa"/>
            <w:vAlign w:val="top"/>
          </w:tcPr>
          <w:p>
            <w:pPr>
              <w:ind w:left="1538"/>
              <w:spacing w:before="12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2616" w:type="dxa"/>
            <w:vAlign w:val="top"/>
          </w:tcPr>
          <w:p>
            <w:pPr>
              <w:ind w:left="939"/>
              <w:spacing w:before="36" w:line="32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C=A*B</w:t>
            </w:r>
          </w:p>
        </w:tc>
      </w:tr>
      <w:tr>
        <w:trPr>
          <w:trHeight w:val="405" w:hRule="atLeast"/>
        </w:trPr>
        <w:tc>
          <w:tcPr>
            <w:tcW w:w="2667" w:type="dxa"/>
            <w:vAlign w:val="top"/>
          </w:tcPr>
          <w:p>
            <w:pPr>
              <w:ind w:left="910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1642.052</w:t>
            </w:r>
          </w:p>
        </w:tc>
        <w:tc>
          <w:tcPr>
            <w:tcW w:w="3237" w:type="dxa"/>
            <w:vAlign w:val="top"/>
          </w:tcPr>
          <w:p>
            <w:pPr>
              <w:ind w:left="1293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0.5500</w:t>
            </w:r>
          </w:p>
        </w:tc>
        <w:tc>
          <w:tcPr>
            <w:tcW w:w="2616" w:type="dxa"/>
            <w:vAlign w:val="top"/>
          </w:tcPr>
          <w:p>
            <w:pPr>
              <w:ind w:left="983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903.13</w:t>
            </w:r>
          </w:p>
        </w:tc>
      </w:tr>
    </w:tbl>
    <w:p>
      <w:pPr>
        <w:pStyle w:val="BodyText"/>
        <w:ind w:left="1844"/>
        <w:spacing w:before="154" w:line="216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3-11</w:t>
      </w:r>
      <w:r>
        <w:rPr>
          <w:rFonts w:ascii="Times New Roman" w:hAnsi="Times New Roman" w:eastAsia="Times New Roman" w:cs="Times New Roman"/>
          <w:b/>
          <w:bCs/>
          <w:spacing w:val="19"/>
        </w:rPr>
        <w:t xml:space="preserve">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化石燃料燃烧产生的排放量计算</w:t>
      </w:r>
    </w:p>
    <w:p>
      <w:pPr>
        <w:spacing w:line="110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70"/>
        <w:gridCol w:w="1654"/>
        <w:gridCol w:w="1568"/>
        <w:gridCol w:w="2076"/>
        <w:gridCol w:w="1132"/>
        <w:gridCol w:w="1220"/>
      </w:tblGrid>
      <w:tr>
        <w:trPr>
          <w:trHeight w:val="941" w:hRule="atLeast"/>
        </w:trPr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41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化石</w:t>
            </w:r>
          </w:p>
          <w:p>
            <w:pPr>
              <w:pStyle w:val="TableText"/>
              <w:ind w:left="201"/>
              <w:spacing w:before="1" w:line="214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燃料</w:t>
            </w:r>
          </w:p>
          <w:p>
            <w:pPr>
              <w:pStyle w:val="TableText"/>
              <w:ind w:left="204"/>
              <w:spacing w:before="30" w:line="20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种类</w:t>
            </w:r>
          </w:p>
        </w:tc>
        <w:tc>
          <w:tcPr>
            <w:tcW w:w="1654" w:type="dxa"/>
            <w:vAlign w:val="top"/>
          </w:tcPr>
          <w:p>
            <w:pPr>
              <w:pStyle w:val="TableText"/>
              <w:ind w:left="133"/>
              <w:spacing w:before="56" w:line="216" w:lineRule="auto"/>
              <w:rPr>
                <w:rFonts w:ascii="Times New Roman" w:hAnsi="Times New Roman" w:eastAsia="Times New Roman" w:cs="Times New Roman"/>
              </w:rPr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净消耗量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FCi</w:t>
            </w:r>
          </w:p>
          <w:p>
            <w:pPr>
              <w:pStyle w:val="TableText"/>
              <w:ind w:left="547"/>
              <w:spacing w:before="311"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t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）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185"/>
              <w:spacing w:before="55" w:line="593" w:lineRule="exact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  <w:position w:val="27"/>
              </w:rPr>
              <w:t>低位发热量</w:t>
            </w:r>
          </w:p>
          <w:p>
            <w:pPr>
              <w:pStyle w:val="TableText"/>
              <w:ind w:left="319"/>
              <w:spacing w:line="217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GJ/t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）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08"/>
              <w:spacing w:before="197" w:line="216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单位热值含碳量</w:t>
            </w:r>
          </w:p>
          <w:p>
            <w:pPr>
              <w:pStyle w:val="TableText"/>
              <w:ind w:left="486"/>
              <w:spacing w:before="28" w:line="231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tC/GJ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）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ind w:left="123" w:right="64" w:firstLine="83"/>
              <w:spacing w:before="197" w:line="22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碳氧化</w:t>
            </w:r>
            <w:r>
              <w:rPr/>
              <w:t xml:space="preserve"> 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率（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%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）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112" w:right="113" w:firstLine="144"/>
              <w:spacing w:before="197" w:line="234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排放量</w:t>
            </w:r>
            <w:r>
              <w:rPr/>
              <w:t xml:space="preserve"> 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7"/>
                <w:position w:val="-1"/>
              </w:rPr>
              <w:t>2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）</w:t>
            </w:r>
          </w:p>
        </w:tc>
      </w:tr>
      <w:tr>
        <w:trPr>
          <w:trHeight w:val="345" w:hRule="atLeast"/>
        </w:trPr>
        <w:tc>
          <w:tcPr>
            <w:tcW w:w="870" w:type="dxa"/>
            <w:vAlign w:val="top"/>
          </w:tcPr>
          <w:p>
            <w:pPr>
              <w:pStyle w:val="TableText"/>
              <w:ind w:left="214"/>
              <w:spacing w:before="52" w:line="217" w:lineRule="auto"/>
              <w:rPr/>
            </w:pPr>
            <w:r>
              <w:rPr>
                <w:spacing w:val="-11"/>
              </w:rPr>
              <w:t>汽油</w:t>
            </w:r>
          </w:p>
        </w:tc>
        <w:tc>
          <w:tcPr>
            <w:tcW w:w="1654" w:type="dxa"/>
            <w:vAlign w:val="top"/>
          </w:tcPr>
          <w:p>
            <w:pPr>
              <w:ind w:left="580"/>
              <w:spacing w:before="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16.82</w:t>
            </w:r>
          </w:p>
        </w:tc>
        <w:tc>
          <w:tcPr>
            <w:tcW w:w="1568" w:type="dxa"/>
            <w:vAlign w:val="top"/>
          </w:tcPr>
          <w:p>
            <w:pPr>
              <w:ind w:left="575"/>
              <w:spacing w:before="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44.8</w:t>
            </w:r>
          </w:p>
        </w:tc>
        <w:tc>
          <w:tcPr>
            <w:tcW w:w="2076" w:type="dxa"/>
            <w:vAlign w:val="top"/>
          </w:tcPr>
          <w:p>
            <w:pPr>
              <w:ind w:left="713"/>
              <w:spacing w:before="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0.0189</w:t>
            </w:r>
          </w:p>
        </w:tc>
        <w:tc>
          <w:tcPr>
            <w:tcW w:w="1132" w:type="dxa"/>
            <w:vAlign w:val="top"/>
          </w:tcPr>
          <w:p>
            <w:pPr>
              <w:ind w:left="455"/>
              <w:spacing w:before="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1220" w:type="dxa"/>
            <w:vAlign w:val="top"/>
          </w:tcPr>
          <w:p>
            <w:pPr>
              <w:ind w:left="349"/>
              <w:spacing w:before="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51.18</w:t>
            </w:r>
          </w:p>
        </w:tc>
      </w:tr>
      <w:tr>
        <w:trPr>
          <w:trHeight w:val="356" w:hRule="atLeast"/>
        </w:trPr>
        <w:tc>
          <w:tcPr>
            <w:tcW w:w="7300" w:type="dxa"/>
            <w:vAlign w:val="top"/>
            <w:gridSpan w:val="5"/>
          </w:tcPr>
          <w:p>
            <w:pPr>
              <w:pStyle w:val="TableText"/>
              <w:ind w:left="2209"/>
              <w:spacing w:before="58" w:line="217" w:lineRule="auto"/>
              <w:rPr/>
            </w:pPr>
            <w:r>
              <w:rPr>
                <w:spacing w:val="-1"/>
              </w:rPr>
              <w:t>合计排放量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 </w:t>
            </w:r>
            <w:r>
              <w:rPr>
                <w:spacing w:val="-1"/>
              </w:rPr>
              <w:t>燃烧（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8"/>
                <w:position w:val="-1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1220" w:type="dxa"/>
            <w:vAlign w:val="top"/>
          </w:tcPr>
          <w:p>
            <w:pPr>
              <w:ind w:left="349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51.18</w:t>
            </w:r>
          </w:p>
        </w:tc>
      </w:tr>
    </w:tbl>
    <w:p>
      <w:pPr>
        <w:pStyle w:val="BodyText"/>
        <w:ind w:left="2434"/>
        <w:spacing w:before="156" w:line="218" w:lineRule="auto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3-1</w:t>
      </w:r>
      <w:r>
        <w:rPr>
          <w:rFonts w:ascii="Times New Roman" w:hAnsi="Times New Roman" w:eastAsia="Times New Roman" w:cs="Times New Roman"/>
          <w:spacing w:val="-1"/>
        </w:rPr>
        <w:t>2   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受核查方排放量汇总</w:t>
      </w:r>
    </w:p>
    <w:p>
      <w:pPr>
        <w:spacing w:line="106" w:lineRule="exact"/>
        <w:rPr/>
      </w:pPr>
      <w:r/>
    </w:p>
    <w:tbl>
      <w:tblPr>
        <w:tblStyle w:val="TableNormal"/>
        <w:tblW w:w="8364" w:type="dxa"/>
        <w:tblInd w:w="8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64"/>
        <w:gridCol w:w="2900"/>
      </w:tblGrid>
      <w:tr>
        <w:trPr>
          <w:trHeight w:val="406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510"/>
              <w:spacing w:before="85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类别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062"/>
              <w:spacing w:before="86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</w:t>
            </w:r>
          </w:p>
        </w:tc>
      </w:tr>
      <w:tr>
        <w:trPr>
          <w:trHeight w:val="401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2"/>
              <w:spacing w:before="80" w:line="215" w:lineRule="auto"/>
              <w:rPr/>
            </w:pPr>
            <w:r>
              <w:rPr>
                <w:spacing w:val="-2"/>
              </w:rPr>
              <w:t>化石燃料燃烧排放量（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2"/>
                <w:position w:val="-1"/>
              </w:rPr>
              <w:t>2 </w:t>
            </w:r>
            <w:r>
              <w:rPr>
                <w:spacing w:val="-2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188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51.18</w:t>
            </w:r>
          </w:p>
        </w:tc>
      </w:tr>
      <w:tr>
        <w:trPr>
          <w:trHeight w:val="401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1"/>
              <w:spacing w:before="82" w:line="217" w:lineRule="auto"/>
              <w:rPr/>
            </w:pPr>
            <w:r>
              <w:rPr>
                <w:spacing w:val="-1"/>
              </w:rPr>
              <w:t>净购入使用的电力对应的排放量（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126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903.13</w:t>
            </w:r>
          </w:p>
        </w:tc>
      </w:tr>
      <w:tr>
        <w:trPr>
          <w:trHeight w:val="401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1"/>
              <w:spacing w:before="82" w:line="217" w:lineRule="auto"/>
              <w:rPr/>
            </w:pPr>
            <w:r>
              <w:rPr>
                <w:spacing w:val="-1"/>
              </w:rPr>
              <w:t>净购入使用的热力对应的排放量（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415"/>
              <w:spacing w:before="11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05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30"/>
              <w:spacing w:before="84" w:line="217" w:lineRule="auto"/>
              <w:rPr/>
            </w:pPr>
            <w:r>
              <w:rPr>
                <w:spacing w:val="-3"/>
              </w:rPr>
              <w:t>总排放量（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 </w:t>
            </w:r>
            <w:r>
              <w:rPr>
                <w:spacing w:val="-3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126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954.31</w:t>
            </w:r>
          </w:p>
        </w:tc>
      </w:tr>
    </w:tbl>
    <w:p>
      <w:pPr>
        <w:pStyle w:val="BodyText"/>
        <w:ind w:left="137" w:right="111" w:firstLine="559"/>
        <w:spacing w:before="157" w:line="391" w:lineRule="auto"/>
        <w:jc w:val="both"/>
        <w:rPr/>
      </w:pPr>
      <w:r>
        <w:rPr>
          <w:spacing w:val="-5"/>
        </w:rPr>
        <w:t>综上所述，通过重新验算，核查组确认排放报告中排放量数据真</w:t>
      </w:r>
      <w:r>
        <w:rPr>
          <w:spacing w:val="16"/>
        </w:rPr>
        <w:t xml:space="preserve"> </w:t>
      </w:r>
      <w:r>
        <w:rPr>
          <w:spacing w:val="-4"/>
        </w:rPr>
        <w:t>实、可靠、正确，符合《工业其他行业企业温室气体排放</w:t>
      </w:r>
      <w:r>
        <w:rPr>
          <w:spacing w:val="-5"/>
        </w:rPr>
        <w:t>核算方法与</w:t>
      </w:r>
    </w:p>
    <w:p>
      <w:pPr>
        <w:pStyle w:val="BodyText"/>
        <w:ind w:left="131"/>
        <w:spacing w:line="216" w:lineRule="auto"/>
        <w:rPr/>
      </w:pPr>
      <w:r>
        <w:rPr>
          <w:spacing w:val="-2"/>
        </w:rPr>
        <w:t>报告指南（试行）》的要求。</w:t>
      </w:r>
    </w:p>
    <w:p>
      <w:pPr>
        <w:pStyle w:val="BodyText"/>
        <w:ind w:left="716"/>
        <w:spacing w:before="256" w:line="214" w:lineRule="auto"/>
        <w:outlineLvl w:val="1"/>
        <w:rPr>
          <w:sz w:val="30"/>
          <w:szCs w:val="30"/>
        </w:rPr>
      </w:pPr>
      <w:bookmarkStart w:name="bookmark54" w:id="43"/>
      <w:bookmarkEnd w:id="43"/>
      <w:bookmarkStart w:name="bookmark24" w:id="44"/>
      <w:bookmarkEnd w:id="44"/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3.5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质量保证和文件存档的核查</w:t>
      </w:r>
    </w:p>
    <w:p>
      <w:pPr>
        <w:pStyle w:val="BodyText"/>
        <w:ind w:left="691"/>
        <w:spacing w:before="254" w:line="218" w:lineRule="auto"/>
        <w:rPr/>
      </w:pPr>
      <w:r>
        <w:rPr>
          <w:spacing w:val="-4"/>
        </w:rPr>
        <w:t>通过文件审核以及现场访谈，核查组确认受核查方的</w:t>
      </w:r>
      <w:r>
        <w:rPr>
          <w:spacing w:val="-5"/>
        </w:rPr>
        <w:t>温室气体排</w:t>
      </w:r>
    </w:p>
    <w:p>
      <w:pPr>
        <w:spacing w:line="218" w:lineRule="auto"/>
        <w:sectPr>
          <w:footerReference w:type="default" r:id="rId44"/>
          <w:pgSz w:w="11906" w:h="16839"/>
          <w:pgMar w:top="1172" w:right="1690" w:bottom="1245" w:left="1690" w:header="902" w:footer="1083" w:gutter="0"/>
        </w:sectPr>
        <w:rPr/>
      </w:pP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91" w:line="391" w:lineRule="auto"/>
        <w:jc w:val="both"/>
        <w:rPr/>
      </w:pPr>
      <w:r>
        <w:rPr>
          <w:spacing w:val="-4"/>
        </w:rPr>
        <w:t>放核算和报告工作由行政部负责，并指定了专门人员进行温室气体排</w:t>
      </w:r>
      <w:r>
        <w:rPr>
          <w:spacing w:val="8"/>
        </w:rPr>
        <w:t xml:space="preserve"> </w:t>
      </w:r>
      <w:r>
        <w:rPr>
          <w:spacing w:val="-3"/>
        </w:rPr>
        <w:t>放核算和报告工作。核查组确认受核查方的能源管理工作基本良好，</w:t>
      </w:r>
    </w:p>
    <w:p>
      <w:pPr>
        <w:pStyle w:val="BodyText"/>
        <w:ind w:left="51"/>
        <w:spacing w:line="216" w:lineRule="auto"/>
        <w:rPr/>
      </w:pPr>
      <w:r>
        <w:rPr>
          <w:spacing w:val="-3"/>
        </w:rPr>
        <w:t>能源消耗台帐基本完整规范。</w:t>
      </w:r>
    </w:p>
    <w:p>
      <w:pPr>
        <w:pStyle w:val="BodyText"/>
        <w:ind w:left="621"/>
        <w:spacing w:before="256" w:line="216" w:lineRule="auto"/>
        <w:outlineLvl w:val="1"/>
        <w:rPr>
          <w:sz w:val="30"/>
          <w:szCs w:val="30"/>
        </w:rPr>
      </w:pPr>
      <w:bookmarkStart w:name="bookmark55" w:id="45"/>
      <w:bookmarkEnd w:id="45"/>
      <w:bookmarkStart w:name="bookmark25" w:id="46"/>
      <w:bookmarkEnd w:id="46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3.6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其他核查发现</w:t>
      </w:r>
    </w:p>
    <w:p>
      <w:pPr>
        <w:pStyle w:val="BodyText"/>
        <w:ind w:left="597"/>
        <w:spacing w:before="247" w:line="221" w:lineRule="auto"/>
        <w:rPr/>
      </w:pPr>
      <w:r>
        <w:rPr/>
        <w:t>无</w:t>
      </w:r>
    </w:p>
    <w:p>
      <w:pPr>
        <w:spacing w:line="221" w:lineRule="auto"/>
        <w:sectPr>
          <w:headerReference w:type="default" r:id="rId45"/>
          <w:footerReference w:type="default" r:id="rId46"/>
          <w:pgSz w:w="11906" w:h="16839"/>
          <w:pgMar w:top="1172" w:right="1765" w:bottom="1245" w:left="1785" w:header="902" w:footer="1083" w:gutter="0"/>
        </w:sectPr>
        <w:rPr/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682"/>
        <w:spacing w:before="100" w:line="222" w:lineRule="auto"/>
        <w:outlineLvl w:val="0"/>
        <w:rPr>
          <w:sz w:val="31"/>
          <w:szCs w:val="31"/>
        </w:rPr>
      </w:pPr>
      <w:bookmarkStart w:name="bookmark56" w:id="47"/>
      <w:bookmarkEnd w:id="47"/>
      <w:bookmarkStart w:name="bookmark26" w:id="48"/>
      <w:bookmarkEnd w:id="48"/>
      <w:bookmarkStart w:name="bookmark27" w:id="49"/>
      <w:bookmarkEnd w:id="49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4    </w:t>
      </w:r>
      <w:r>
        <w:rPr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核查结论</w:t>
      </w:r>
    </w:p>
    <w:p>
      <w:pPr>
        <w:pStyle w:val="BodyText"/>
        <w:ind w:left="641"/>
        <w:spacing w:before="326" w:line="215" w:lineRule="auto"/>
        <w:outlineLvl w:val="1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4.1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排放报告与核算指南的符合性</w:t>
      </w:r>
    </w:p>
    <w:p>
      <w:pPr>
        <w:pStyle w:val="BodyText"/>
        <w:ind w:left="44" w:right="33" w:firstLine="569"/>
        <w:spacing w:before="251" w:line="391" w:lineRule="auto"/>
        <w:jc w:val="both"/>
        <w:rPr/>
      </w:pPr>
      <w:r>
        <w:rPr>
          <w:spacing w:val="-1"/>
        </w:rPr>
        <w:t>经核查，核查组确认苏州琨山通用锁具有限公司提交的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2025 </w:t>
      </w:r>
      <w:r>
        <w:rPr>
          <w:spacing w:val="-1"/>
        </w:rPr>
        <w:t>年</w:t>
      </w:r>
      <w:r>
        <w:rPr/>
        <w:t xml:space="preserve"> </w:t>
      </w:r>
      <w:r>
        <w:rPr>
          <w:spacing w:val="-4"/>
        </w:rPr>
        <w:t>度最终版排放报告中的企业基本情况、核算边界、活动水平数据、排</w:t>
      </w:r>
      <w:r>
        <w:rPr>
          <w:spacing w:val="10"/>
        </w:rPr>
        <w:t xml:space="preserve"> </w:t>
      </w:r>
      <w:r>
        <w:rPr>
          <w:spacing w:val="-4"/>
        </w:rPr>
        <w:t>放因子数据以及温室气体排放核算和报告，符合《工业其他行业企业</w:t>
      </w:r>
    </w:p>
    <w:p>
      <w:pPr>
        <w:pStyle w:val="BodyText"/>
        <w:ind w:left="60"/>
        <w:spacing w:line="216" w:lineRule="auto"/>
        <w:rPr/>
      </w:pPr>
      <w:r>
        <w:rPr>
          <w:spacing w:val="-1"/>
        </w:rPr>
        <w:t>温室气体排放核算方法与报告指南（试行）》的相关要求。</w:t>
      </w:r>
    </w:p>
    <w:p>
      <w:pPr>
        <w:pStyle w:val="BodyText"/>
        <w:ind w:left="641"/>
        <w:spacing w:before="256" w:line="217" w:lineRule="auto"/>
        <w:outlineLvl w:val="1"/>
        <w:rPr>
          <w:sz w:val="30"/>
          <w:szCs w:val="30"/>
        </w:rPr>
      </w:pPr>
      <w:bookmarkStart w:name="bookmark57" w:id="50"/>
      <w:bookmarkEnd w:id="50"/>
      <w:bookmarkStart w:name="bookmark28" w:id="51"/>
      <w:bookmarkEnd w:id="51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4.2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排放量声明</w:t>
      </w:r>
    </w:p>
    <w:p>
      <w:pPr>
        <w:pStyle w:val="BodyText"/>
        <w:ind w:right="74"/>
        <w:spacing w:before="247" w:line="593" w:lineRule="exact"/>
        <w:jc w:val="right"/>
        <w:rPr/>
      </w:pPr>
      <w:r>
        <w:rPr>
          <w:spacing w:val="-1"/>
          <w:position w:val="23"/>
        </w:rPr>
        <w:t>苏州琨山通用锁具有限公司</w:t>
      </w:r>
      <w:r>
        <w:rPr>
          <w:spacing w:val="-65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3"/>
        </w:rPr>
        <w:t>2025 </w:t>
      </w:r>
      <w:r>
        <w:rPr>
          <w:spacing w:val="-1"/>
          <w:position w:val="23"/>
        </w:rPr>
        <w:t>年度按照核算方法和</w:t>
      </w:r>
      <w:r>
        <w:rPr>
          <w:spacing w:val="-2"/>
          <w:position w:val="23"/>
        </w:rPr>
        <w:t>报告指南</w:t>
      </w:r>
    </w:p>
    <w:p>
      <w:pPr>
        <w:pStyle w:val="BodyText"/>
        <w:ind w:left="44"/>
        <w:spacing w:line="217" w:lineRule="auto"/>
        <w:rPr/>
      </w:pPr>
      <w:r>
        <w:rPr>
          <w:spacing w:val="-1"/>
        </w:rPr>
        <w:t>核算的企业温室气体排放总量的声明如下：</w:t>
      </w:r>
    </w:p>
    <w:p>
      <w:pPr>
        <w:pStyle w:val="BodyText"/>
        <w:ind w:left="1127"/>
        <w:spacing w:before="263" w:line="218" w:lineRule="auto"/>
        <w:rPr/>
      </w:pPr>
      <w:bookmarkStart w:name="bookmark29" w:id="52"/>
      <w:bookmarkEnd w:id="52"/>
      <w:bookmarkStart w:name="bookmark30" w:id="53"/>
      <w:bookmarkEnd w:id="53"/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4-1    2025 </w:t>
      </w: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年度企业法人边界温室气体排放总量</w:t>
      </w:r>
    </w:p>
    <w:p>
      <w:pPr>
        <w:spacing w:line="106" w:lineRule="exact"/>
        <w:rPr/>
      </w:pPr>
      <w:r/>
    </w:p>
    <w:tbl>
      <w:tblPr>
        <w:tblStyle w:val="TableNormal"/>
        <w:tblW w:w="83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64"/>
        <w:gridCol w:w="2900"/>
      </w:tblGrid>
      <w:tr>
        <w:trPr>
          <w:trHeight w:val="406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510"/>
              <w:spacing w:before="82" w:line="218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类别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062"/>
              <w:spacing w:before="83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</w:t>
            </w:r>
          </w:p>
        </w:tc>
      </w:tr>
      <w:tr>
        <w:trPr>
          <w:trHeight w:val="401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2"/>
              <w:spacing w:before="79" w:line="215" w:lineRule="auto"/>
              <w:rPr/>
            </w:pPr>
            <w:r>
              <w:rPr>
                <w:spacing w:val="-2"/>
              </w:rPr>
              <w:t>化石燃料燃烧排放量（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2"/>
                <w:position w:val="-1"/>
              </w:rPr>
              <w:t>2 </w:t>
            </w:r>
            <w:r>
              <w:rPr>
                <w:spacing w:val="-2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188"/>
              <w:spacing w:before="1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51.18</w:t>
            </w:r>
          </w:p>
        </w:tc>
      </w:tr>
      <w:tr>
        <w:trPr>
          <w:trHeight w:val="401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1"/>
              <w:spacing w:before="79" w:line="217" w:lineRule="auto"/>
              <w:rPr/>
            </w:pPr>
            <w:r>
              <w:rPr>
                <w:spacing w:val="-1"/>
              </w:rPr>
              <w:t>净购入使用的电力对应的排放量（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126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903.13</w:t>
            </w:r>
          </w:p>
        </w:tc>
      </w:tr>
      <w:tr>
        <w:trPr>
          <w:trHeight w:val="401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21"/>
              <w:spacing w:before="81" w:line="217" w:lineRule="auto"/>
              <w:rPr/>
            </w:pPr>
            <w:r>
              <w:rPr>
                <w:spacing w:val="-1"/>
              </w:rPr>
              <w:t>净购入使用的热力对应的排放量（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 </w:t>
            </w:r>
            <w:r>
              <w:rPr>
                <w:spacing w:val="-1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415"/>
              <w:spacing w:before="11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05" w:hRule="atLeast"/>
        </w:trPr>
        <w:tc>
          <w:tcPr>
            <w:tcW w:w="5464" w:type="dxa"/>
            <w:vAlign w:val="top"/>
          </w:tcPr>
          <w:p>
            <w:pPr>
              <w:pStyle w:val="TableText"/>
              <w:ind w:left="30"/>
              <w:spacing w:before="83" w:line="217" w:lineRule="auto"/>
              <w:rPr/>
            </w:pPr>
            <w:r>
              <w:rPr>
                <w:spacing w:val="-3"/>
              </w:rPr>
              <w:t>总排放量（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 </w:t>
            </w:r>
            <w:r>
              <w:rPr>
                <w:spacing w:val="-3"/>
              </w:rPr>
              <w:t>）</w:t>
            </w:r>
          </w:p>
        </w:tc>
        <w:tc>
          <w:tcPr>
            <w:tcW w:w="2900" w:type="dxa"/>
            <w:vAlign w:val="top"/>
          </w:tcPr>
          <w:p>
            <w:pPr>
              <w:ind w:left="1126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954.31</w:t>
            </w:r>
          </w:p>
        </w:tc>
      </w:tr>
    </w:tbl>
    <w:p>
      <w:pPr>
        <w:pStyle w:val="BodyText"/>
        <w:ind w:right="36"/>
        <w:spacing w:before="148" w:line="217" w:lineRule="auto"/>
        <w:outlineLvl w:val="1"/>
        <w:jc w:val="right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4"/>
        </w:rPr>
        <w:t>4.3    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核查过程中未覆盖的问题或者需要特别说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明的问题描</w:t>
      </w:r>
    </w:p>
    <w:p>
      <w:pPr>
        <w:pStyle w:val="BodyText"/>
        <w:ind w:left="43"/>
        <w:spacing w:before="239" w:line="219" w:lineRule="auto"/>
        <w:rPr>
          <w:sz w:val="30"/>
          <w:szCs w:val="30"/>
        </w:rPr>
      </w:pP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</w:rPr>
        <w:t>述</w:t>
      </w:r>
    </w:p>
    <w:p>
      <w:pPr>
        <w:pStyle w:val="BodyText"/>
        <w:ind w:right="33"/>
        <w:spacing w:before="247" w:line="592" w:lineRule="exact"/>
        <w:jc w:val="right"/>
        <w:rPr/>
      </w:pPr>
      <w:r>
        <w:rPr>
          <w:position w:val="23"/>
        </w:rPr>
        <w:t>苏州琨山通用锁具有限公司</w:t>
      </w:r>
      <w:r>
        <w:rPr>
          <w:spacing w:val="-58"/>
          <w:position w:val="23"/>
        </w:rPr>
        <w:t xml:space="preserve"> </w:t>
      </w:r>
      <w:r>
        <w:rPr>
          <w:rFonts w:ascii="Times New Roman" w:hAnsi="Times New Roman" w:eastAsia="Times New Roman" w:cs="Times New Roman"/>
          <w:position w:val="23"/>
        </w:rPr>
        <w:t>2025 </w:t>
      </w:r>
      <w:r>
        <w:rPr>
          <w:position w:val="23"/>
        </w:rPr>
        <w:t>年度的核查过程中无未覆盖或</w:t>
      </w:r>
    </w:p>
    <w:p>
      <w:pPr>
        <w:pStyle w:val="BodyText"/>
        <w:ind w:left="60"/>
        <w:spacing w:before="2" w:line="217" w:lineRule="auto"/>
        <w:rPr/>
      </w:pPr>
      <w:r>
        <w:rPr>
          <w:spacing w:val="-3"/>
        </w:rPr>
        <w:t>需要特别说明的问题。</w:t>
      </w:r>
    </w:p>
    <w:p>
      <w:pPr>
        <w:spacing w:line="217" w:lineRule="auto"/>
        <w:sectPr>
          <w:headerReference w:type="default" r:id="rId47"/>
          <w:footerReference w:type="default" r:id="rId48"/>
          <w:pgSz w:w="11906" w:h="16839"/>
          <w:pgMar w:top="1172" w:right="1768" w:bottom="1245" w:left="1768" w:header="902" w:footer="1083" w:gutter="0"/>
        </w:sectPr>
        <w:rPr/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668"/>
        <w:spacing w:before="100" w:line="222" w:lineRule="auto"/>
        <w:outlineLvl w:val="0"/>
        <w:rPr>
          <w:sz w:val="31"/>
          <w:szCs w:val="31"/>
        </w:rPr>
      </w:pPr>
      <w:bookmarkStart w:name="bookmark58" w:id="54"/>
      <w:bookmarkEnd w:id="54"/>
      <w:bookmarkStart w:name="bookmark31" w:id="55"/>
      <w:bookmarkEnd w:id="55"/>
      <w:bookmarkStart w:name="bookmark32" w:id="56"/>
      <w:bookmarkEnd w:id="56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8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1"/>
        </w:rPr>
        <w:t xml:space="preserve">    </w:t>
      </w:r>
      <w:r>
        <w:rPr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附件</w:t>
      </w:r>
    </w:p>
    <w:p>
      <w:pPr>
        <w:pStyle w:val="BodyText"/>
        <w:ind w:left="650"/>
        <w:spacing w:before="327" w:line="216" w:lineRule="auto"/>
        <w:outlineLvl w:val="1"/>
        <w:rPr>
          <w:sz w:val="30"/>
          <w:szCs w:val="30"/>
        </w:rPr>
      </w:pP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附件</w:t>
      </w:r>
      <w:r>
        <w:rPr>
          <w:sz w:val="30"/>
          <w:szCs w:val="30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3"/>
        </w:rPr>
        <w:t>1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：对今后核算活动的建议</w:t>
      </w:r>
    </w:p>
    <w:p>
      <w:pPr>
        <w:pStyle w:val="BodyText"/>
        <w:ind w:left="587"/>
        <w:spacing w:before="250" w:line="217" w:lineRule="auto"/>
        <w:rPr/>
      </w:pPr>
      <w:r>
        <w:rPr>
          <w:spacing w:val="-1"/>
        </w:rPr>
        <w:t>核查组对受核查方今后核算活动的建议如下：</w:t>
      </w:r>
    </w:p>
    <w:p>
      <w:pPr>
        <w:pStyle w:val="BodyText"/>
        <w:ind w:left="30" w:right="74" w:firstLine="580"/>
        <w:spacing w:before="263" w:line="391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/>
        <w:t>）碳排放数据收集：建立完善的数据收集机制，包括对企业各</w:t>
      </w:r>
      <w:r>
        <w:rPr>
          <w:spacing w:val="3"/>
        </w:rPr>
        <w:t xml:space="preserve"> </w:t>
      </w:r>
      <w:r>
        <w:rPr>
          <w:spacing w:val="-4"/>
        </w:rPr>
        <w:t>项活动的碳排放数据进行记录和监测。通过使用自动监测设备收集数</w:t>
      </w:r>
    </w:p>
    <w:p>
      <w:pPr>
        <w:pStyle w:val="BodyText"/>
        <w:ind w:left="30"/>
        <w:spacing w:line="217" w:lineRule="auto"/>
        <w:rPr/>
      </w:pPr>
      <w:r>
        <w:rPr>
          <w:spacing w:val="-1"/>
        </w:rPr>
        <w:t>据和数据管理系统实现碳排放数据收集。</w:t>
      </w:r>
    </w:p>
    <w:p>
      <w:pPr>
        <w:pStyle w:val="BodyText"/>
        <w:ind w:left="36" w:firstLine="547"/>
        <w:spacing w:before="260" w:line="391" w:lineRule="auto"/>
        <w:rPr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）碳核算方法选择：选择适合企业实际情况的碳核算方法，例</w:t>
      </w:r>
      <w:r>
        <w:rPr>
          <w:spacing w:val="2"/>
        </w:rPr>
        <w:t xml:space="preserve"> </w:t>
      </w:r>
      <w:r>
        <w:rPr>
          <w:spacing w:val="-11"/>
        </w:rPr>
        <w:t>如基准线法、排放因子法或过程分析法等，根据企业的特点和可行性，</w:t>
      </w:r>
    </w:p>
    <w:p>
      <w:pPr>
        <w:pStyle w:val="BodyText"/>
        <w:ind w:left="36"/>
        <w:spacing w:before="1" w:line="215" w:lineRule="auto"/>
        <w:rPr/>
      </w:pPr>
      <w:r>
        <w:rPr>
          <w:spacing w:val="-1"/>
        </w:rPr>
        <w:t>结合相关指南和标准，选择合适的方法进行碳核算。</w:t>
      </w:r>
    </w:p>
    <w:p>
      <w:pPr>
        <w:pStyle w:val="BodyText"/>
        <w:ind w:left="34" w:right="74" w:firstLine="555"/>
        <w:spacing w:before="265" w:line="391" w:lineRule="auto"/>
        <w:rPr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）内部碳管理体系：建立内部碳管理体系，并制定碳管</w:t>
      </w:r>
      <w:r>
        <w:rPr/>
        <w:t>理计划</w:t>
      </w:r>
      <w:r>
        <w:rPr/>
        <w:t xml:space="preserve"> </w:t>
      </w:r>
      <w:r>
        <w:rPr>
          <w:spacing w:val="-4"/>
        </w:rPr>
        <w:t>和目标，通过设立碳排放限额、碳减排措施和碳交易机制等，推动企</w:t>
      </w:r>
    </w:p>
    <w:p>
      <w:pPr>
        <w:pStyle w:val="BodyText"/>
        <w:ind w:left="39"/>
        <w:spacing w:before="1" w:line="217" w:lineRule="auto"/>
        <w:rPr/>
      </w:pPr>
      <w:r>
        <w:rPr>
          <w:spacing w:val="-2"/>
        </w:rPr>
        <w:t>业实施碳减排和碳中和措施。</w:t>
      </w:r>
    </w:p>
    <w:p>
      <w:pPr>
        <w:pStyle w:val="BodyText"/>
        <w:ind w:left="28" w:right="74" w:firstLine="554"/>
        <w:spacing w:before="263" w:line="390" w:lineRule="auto"/>
        <w:rPr/>
      </w:pP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）碳核算结果分析：对碳核算结果进行分析和评估，识别碳排</w:t>
      </w:r>
      <w:r>
        <w:rPr>
          <w:spacing w:val="4"/>
        </w:rPr>
        <w:t xml:space="preserve"> </w:t>
      </w:r>
      <w:r>
        <w:rPr>
          <w:spacing w:val="-4"/>
        </w:rPr>
        <w:t>放的主要来源和高风险区域，基于分析结果，制定减排策略，并跟踪</w:t>
      </w:r>
    </w:p>
    <w:p>
      <w:pPr>
        <w:pStyle w:val="BodyText"/>
        <w:ind w:left="34"/>
        <w:spacing w:before="1" w:line="215" w:lineRule="auto"/>
        <w:rPr/>
      </w:pPr>
      <w:r>
        <w:rPr>
          <w:spacing w:val="-2"/>
        </w:rPr>
        <w:t>和评估减排行动计划的实施效果。</w:t>
      </w:r>
    </w:p>
    <w:p>
      <w:pPr>
        <w:pStyle w:val="BodyText"/>
        <w:ind w:left="30" w:right="74" w:firstLine="560"/>
        <w:spacing w:before="265" w:line="391" w:lineRule="auto"/>
        <w:rPr/>
      </w:pP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）外部披露与信息共享：通过公开披露企业的碳核</w:t>
      </w:r>
      <w:r>
        <w:rPr/>
        <w:t>算结果和减</w:t>
      </w:r>
      <w:r>
        <w:rPr/>
        <w:t xml:space="preserve"> </w:t>
      </w:r>
      <w:r>
        <w:rPr>
          <w:spacing w:val="-4"/>
        </w:rPr>
        <w:t>排措施，增加企业的透明度，同时获得社会和利益相关者的支持和信</w:t>
      </w:r>
      <w:r>
        <w:rPr>
          <w:spacing w:val="6"/>
        </w:rPr>
        <w:t xml:space="preserve"> </w:t>
      </w:r>
      <w:r>
        <w:rPr>
          <w:spacing w:val="-4"/>
        </w:rPr>
        <w:t>任。与行业协会、学术界和政府部门进行信息共享，加强碳核算的合</w:t>
      </w:r>
    </w:p>
    <w:p>
      <w:pPr>
        <w:pStyle w:val="BodyText"/>
        <w:ind w:left="30"/>
        <w:spacing w:before="1" w:line="215" w:lineRule="auto"/>
        <w:rPr/>
      </w:pPr>
      <w:r>
        <w:rPr>
          <w:spacing w:val="-3"/>
        </w:rPr>
        <w:t>作与交流。</w:t>
      </w:r>
    </w:p>
    <w:p>
      <w:pPr>
        <w:pStyle w:val="BodyText"/>
        <w:ind w:left="39" w:right="74" w:firstLine="550"/>
        <w:spacing w:before="265" w:line="391" w:lineRule="auto"/>
        <w:rPr/>
      </w:pP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spacing w:val="1"/>
        </w:rPr>
        <w:t>）制定碳减排目标：根据企业的可持续发展战略，制</w:t>
      </w:r>
      <w:r>
        <w:rPr/>
        <w:t>定具体的</w:t>
      </w:r>
      <w:r>
        <w:rPr/>
        <w:t xml:space="preserve"> </w:t>
      </w:r>
      <w:r>
        <w:rPr>
          <w:spacing w:val="-4"/>
        </w:rPr>
        <w:t>可量化的、可追踪的碳减排目标，并设定合理的时间表和里程</w:t>
      </w:r>
      <w:r>
        <w:rPr>
          <w:spacing w:val="-5"/>
        </w:rPr>
        <w:t>碑。同</w:t>
      </w:r>
    </w:p>
    <w:p>
      <w:pPr>
        <w:pStyle w:val="BodyText"/>
        <w:ind w:left="53"/>
        <w:spacing w:before="1" w:line="216" w:lineRule="auto"/>
        <w:rPr/>
      </w:pPr>
      <w:r>
        <w:rPr>
          <w:spacing w:val="-2"/>
        </w:rPr>
        <w:t>时，制定相应的管理措施和激励机制，激励员工参与减排行动。</w:t>
      </w:r>
    </w:p>
    <w:p>
      <w:pPr>
        <w:spacing w:line="216" w:lineRule="auto"/>
        <w:sectPr>
          <w:headerReference w:type="default" r:id="rId49"/>
          <w:footerReference w:type="default" r:id="rId50"/>
          <w:pgSz w:w="11906" w:h="16839"/>
          <w:pgMar w:top="1172" w:right="1726" w:bottom="1245" w:left="1785" w:header="902" w:footer="1083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6"/>
        <w:spacing w:before="98" w:line="215" w:lineRule="auto"/>
        <w:outlineLvl w:val="1"/>
        <w:rPr>
          <w:sz w:val="30"/>
          <w:szCs w:val="30"/>
        </w:rPr>
      </w:pPr>
      <w:bookmarkStart w:name="bookmark59" w:id="57"/>
      <w:bookmarkEnd w:id="57"/>
      <w:bookmarkStart w:name="bookmark33" w:id="58"/>
      <w:bookmarkEnd w:id="58"/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附件</w:t>
      </w:r>
      <w:r>
        <w:rPr>
          <w:sz w:val="30"/>
          <w:szCs w:val="30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3"/>
        </w:rPr>
        <w:t>2</w:t>
      </w:r>
      <w:r>
        <w:rPr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：支持性文件清单</w:t>
      </w:r>
    </w:p>
    <w:p>
      <w:pPr>
        <w:spacing w:line="95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7"/>
        <w:gridCol w:w="7533"/>
      </w:tblGrid>
      <w:tr>
        <w:trPr>
          <w:trHeight w:val="406" w:hRule="atLeast"/>
        </w:trPr>
        <w:tc>
          <w:tcPr>
            <w:tcW w:w="987" w:type="dxa"/>
            <w:vAlign w:val="top"/>
          </w:tcPr>
          <w:p>
            <w:pPr>
              <w:pStyle w:val="TableText"/>
              <w:ind w:left="258"/>
              <w:spacing w:before="83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3301"/>
              <w:spacing w:before="83" w:line="216" w:lineRule="auto"/>
              <w:rPr/>
            </w:pPr>
            <w:r>
              <w:rPr>
                <w:spacing w:val="-5"/>
              </w:rPr>
              <w:t>文件名称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59"/>
              <w:spacing w:before="1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9"/>
              <w:spacing w:before="77" w:line="219" w:lineRule="auto"/>
              <w:rPr/>
            </w:pPr>
            <w:r>
              <w:rPr>
                <w:spacing w:val="-7"/>
              </w:rPr>
              <w:t>营业执照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36"/>
              <w:spacing w:before="1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2"/>
              <w:spacing w:before="79" w:line="216" w:lineRule="auto"/>
              <w:rPr/>
            </w:pPr>
            <w:r>
              <w:rPr>
                <w:spacing w:val="-3"/>
              </w:rPr>
              <w:t>公司简介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1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8"/>
              <w:spacing w:before="79" w:line="218" w:lineRule="auto"/>
              <w:rPr/>
            </w:pPr>
            <w:r>
              <w:rPr>
                <w:spacing w:val="-4"/>
              </w:rPr>
              <w:t>生产工艺流程图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35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2"/>
              <w:spacing w:before="80" w:line="218" w:lineRule="auto"/>
              <w:rPr/>
            </w:pPr>
            <w:r>
              <w:rPr>
                <w:spacing w:val="-2"/>
              </w:rPr>
              <w:t>公司组织架构图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42"/>
              <w:spacing w:before="12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0"/>
              <w:spacing w:before="82" w:line="218" w:lineRule="auto"/>
              <w:rPr/>
            </w:pPr>
            <w:r>
              <w:rPr>
                <w:spacing w:val="-4"/>
              </w:rPr>
              <w:t>厂区平面图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1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1"/>
              <w:spacing w:before="82" w:line="217" w:lineRule="auto"/>
              <w:rPr/>
            </w:pPr>
            <w:r>
              <w:rPr>
                <w:spacing w:val="-5"/>
              </w:rPr>
              <w:t>批复文件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0"/>
              <w:spacing w:before="12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1"/>
              <w:spacing w:before="83" w:line="215" w:lineRule="auto"/>
              <w:rPr/>
            </w:pPr>
            <w:r>
              <w:rPr>
                <w:spacing w:val="-3"/>
              </w:rPr>
              <w:t>监测设备检定证书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5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1" w:line="216" w:lineRule="auto"/>
              <w:rPr/>
            </w:pPr>
            <w:r>
              <w:rPr>
                <w:spacing w:val="-3"/>
              </w:rPr>
              <w:t>计量设备清单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0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3"/>
              <w:spacing w:before="82" w:line="216" w:lineRule="auto"/>
              <w:rPr/>
            </w:pPr>
            <w:r>
              <w:rPr>
                <w:spacing w:val="-3"/>
              </w:rPr>
              <w:t>设备台账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399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09"/>
              <w:spacing w:before="84" w:line="217" w:lineRule="auto"/>
              <w:rPr/>
            </w:pPr>
            <w:r>
              <w:rPr>
                <w:spacing w:val="-1"/>
              </w:rPr>
              <w:t>《生产报表》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04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09"/>
              <w:spacing w:before="82" w:line="214" w:lineRule="auto"/>
              <w:rPr/>
            </w:pPr>
            <w:r>
              <w:rPr>
                <w:spacing w:val="-1"/>
              </w:rPr>
              <w:t>《能源购进、消费与库存》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399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09"/>
              <w:spacing w:before="83" w:line="218" w:lineRule="auto"/>
              <w:rPr/>
            </w:pPr>
            <w:r>
              <w:rPr>
                <w:spacing w:val="-1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2025 </w:t>
            </w:r>
            <w:r>
              <w:rPr>
                <w:spacing w:val="-1"/>
              </w:rPr>
              <w:t>水电费发票》</w:t>
            </w:r>
          </w:p>
        </w:tc>
      </w:tr>
      <w:tr>
        <w:trPr>
          <w:trHeight w:val="406" w:hRule="atLeast"/>
        </w:trPr>
        <w:tc>
          <w:tcPr>
            <w:tcW w:w="987" w:type="dxa"/>
            <w:vAlign w:val="top"/>
          </w:tcPr>
          <w:p>
            <w:pPr>
              <w:ind w:left="399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09"/>
              <w:spacing w:before="82" w:line="217" w:lineRule="auto"/>
              <w:rPr/>
            </w:pPr>
            <w:r>
              <w:rPr>
                <w:spacing w:val="-1"/>
              </w:rPr>
              <w:t>《工业产销总值及主要产品产量》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4"/>
      <w:footerReference w:type="default" r:id="rId51"/>
      <w:pgSz w:w="11906" w:h="16839"/>
      <w:pgMar w:top="1172" w:right="1690" w:bottom="1245" w:left="1690" w:header="902" w:footer="10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19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20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6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"/>
      <w:spacing w:line="225" w:lineRule="auto"/>
      <w:rPr>
        <w:sz w:val="20"/>
        <w:szCs w:val="20"/>
      </w:rPr>
    </w:pPr>
    <w:r>
      <w:pict>
        <v:shape id="_x0000_s18" style="position:absolute;margin-left:90.15pt;margin-top:58.15pt;mso-position-vertical-relative:page;mso-position-horizontal-relative:page;width:415pt;height:0.5pt;z-index:251672576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"/>
      <w:spacing w:line="225" w:lineRule="auto"/>
      <w:rPr>
        <w:sz w:val="20"/>
        <w:szCs w:val="20"/>
      </w:rPr>
    </w:pPr>
    <w:r>
      <w:pict>
        <v:shape id="_x0000_s20" style="position:absolute;margin-left:90.15pt;margin-top:58.15pt;mso-position-vertical-relative:page;mso-position-horizontal-relative:page;width:415pt;height:0.5pt;z-index:251673600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0"/>
      <w:spacing w:line="225" w:lineRule="auto"/>
      <w:rPr>
        <w:sz w:val="20"/>
        <w:szCs w:val="20"/>
      </w:rPr>
    </w:pPr>
    <w:r>
      <w:pict>
        <v:shape id="_x0000_s28" style="position:absolute;margin-left:90.15pt;margin-top:58.15pt;mso-position-vertical-relative:page;mso-position-horizontal-relative:page;width:415pt;height:0.5pt;z-index:251676672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"/>
      <w:spacing w:line="225" w:lineRule="auto"/>
      <w:rPr>
        <w:sz w:val="20"/>
        <w:szCs w:val="20"/>
      </w:rPr>
    </w:pPr>
    <w:r>
      <w:pict>
        <v:shape id="_x0000_s30" style="position:absolute;margin-left:90.15pt;margin-top:58.15pt;mso-position-vertical-relative:page;mso-position-horizontal-relative:page;width:415pt;height:0.5pt;z-index:251679744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3"/>
      <w:spacing w:line="225" w:lineRule="auto"/>
      <w:rPr>
        <w:sz w:val="20"/>
        <w:szCs w:val="20"/>
      </w:rPr>
    </w:pPr>
    <w:r>
      <w:pict>
        <v:shape id="_x0000_s32" style="position:absolute;margin-left:90.15pt;margin-top:58.15pt;mso-position-vertical-relative:page;mso-position-horizontal-relative:page;width:415pt;height:0.5pt;z-index:251680768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"/>
      <w:spacing w:line="225" w:lineRule="auto"/>
      <w:rPr>
        <w:sz w:val="20"/>
        <w:szCs w:val="20"/>
      </w:rPr>
    </w:pPr>
    <w:r>
      <w:pict>
        <v:shape id="_x0000_s34" style="position:absolute;margin-left:90.15pt;margin-top:58.15pt;mso-position-vertical-relative:page;mso-position-horizontal-relative:page;width:415pt;height:0.5pt;z-index:251681792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"/>
      <w:spacing w:line="225" w:lineRule="auto"/>
      <w:rPr>
        <w:rFonts w:ascii="FangSong" w:hAnsi="FangSong" w:eastAsia="FangSong" w:cs="FangSong"/>
        <w:sz w:val="20"/>
        <w:szCs w:val="20"/>
      </w:rPr>
    </w:pPr>
    <w:r>
      <w:pict>
        <v:shape id="_x0000_s2" style="position:absolute;margin-left:89.85pt;margin-top:58.15pt;mso-position-vertical-relative:page;mso-position-horizontal-relative:page;width:415.65pt;height:0.5pt;z-index:251658240;" o:allowincell="f" fillcolor="#000000" filled="true" stroked="false" coordsize="8312,10" coordorigin="0,0" path="m,l8312,0l8312,9l0,9l0,0xe"/>
      </w:pict>
    </w:r>
    <w:r>
      <w:rPr>
        <w:rFonts w:ascii="FangSong" w:hAnsi="FangSong" w:eastAsia="FangSong" w:cs="FangSong"/>
        <w:sz w:val="20"/>
        <w:szCs w:val="20"/>
        <w:spacing w:val="8"/>
      </w:rPr>
      <w:t>苏州琨山通用锁具有限公司</w:t>
    </w:r>
    <w:r>
      <w:rPr>
        <w:rFonts w:ascii="FangSong" w:hAnsi="FangSong" w:eastAsia="FangSong" w:cs="FangSong"/>
        <w:sz w:val="20"/>
        <w:szCs w:val="20"/>
        <w:spacing w:val="-42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rFonts w:ascii="FangSong" w:hAnsi="FangSong" w:eastAsia="FangSong" w:cs="FangSong"/>
        <w:sz w:val="20"/>
        <w:szCs w:val="20"/>
        <w:spacing w:val="8"/>
      </w:rPr>
      <w:t>年度温室气体排放核查报告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"/>
      <w:spacing w:line="225" w:lineRule="auto"/>
      <w:rPr>
        <w:rFonts w:ascii="FangSong" w:hAnsi="FangSong" w:eastAsia="FangSong" w:cs="FangSong"/>
        <w:sz w:val="20"/>
        <w:szCs w:val="20"/>
      </w:rPr>
    </w:pPr>
    <w:r>
      <w:pict>
        <v:shape id="_x0000_s4" style="position:absolute;margin-left:89.85pt;margin-top:58.15pt;mso-position-vertical-relative:page;mso-position-horizontal-relative:page;width:415.65pt;height:0.5pt;z-index:251660288;" o:allowincell="f" fillcolor="#000000" filled="true" stroked="false" coordsize="8312,10" coordorigin="0,0" path="m,l8312,0l8312,9l0,9l0,0xe"/>
      </w:pict>
    </w:r>
    <w:r>
      <w:rPr>
        <w:rFonts w:ascii="FangSong" w:hAnsi="FangSong" w:eastAsia="FangSong" w:cs="FangSong"/>
        <w:sz w:val="20"/>
        <w:szCs w:val="20"/>
        <w:spacing w:val="8"/>
      </w:rPr>
      <w:t>苏州琨山通用锁具有限公司</w:t>
    </w:r>
    <w:r>
      <w:rPr>
        <w:rFonts w:ascii="FangSong" w:hAnsi="FangSong" w:eastAsia="FangSong" w:cs="FangSong"/>
        <w:sz w:val="20"/>
        <w:szCs w:val="20"/>
        <w:spacing w:val="-42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rFonts w:ascii="FangSong" w:hAnsi="FangSong" w:eastAsia="FangSong" w:cs="FangSong"/>
        <w:sz w:val="20"/>
        <w:szCs w:val="20"/>
        <w:spacing w:val="8"/>
      </w:rPr>
      <w:t>年度温室气体排放核查报告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"/>
      <w:spacing w:line="225" w:lineRule="auto"/>
      <w:rPr>
        <w:sz w:val="20"/>
        <w:szCs w:val="20"/>
      </w:rPr>
    </w:pPr>
    <w:r>
      <w:pict>
        <v:shape id="_x0000_s6" style="position:absolute;margin-left:90pt;margin-top:58.15pt;mso-position-vertical-relative:page;mso-position-horizontal-relative:page;width:415.3pt;height:0.5pt;z-index:251661312;" o:allowincell="f" fillcolor="#000000" filled="true" stroked="false" coordsize="8305,10" coordorigin="0,0" path="m,l8305,0l8305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"/>
      <w:spacing w:line="225" w:lineRule="auto"/>
      <w:rPr>
        <w:sz w:val="20"/>
        <w:szCs w:val="20"/>
      </w:rPr>
    </w:pPr>
    <w:r>
      <w:pict>
        <v:shape id="_x0000_s8" style="position:absolute;margin-left:90.15pt;margin-top:58.15pt;mso-position-vertical-relative:page;mso-position-horizontal-relative:page;width:415pt;height:0.5pt;z-index:251663360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1"/>
      <w:spacing w:line="225" w:lineRule="auto"/>
      <w:rPr>
        <w:sz w:val="20"/>
        <w:szCs w:val="20"/>
      </w:rPr>
    </w:pPr>
    <w:r>
      <w:pict>
        <v:shape id="_x0000_s10" style="position:absolute;margin-left:90.15pt;margin-top:58.15pt;mso-position-vertical-relative:page;mso-position-horizontal-relative:page;width:415pt;height:0.5pt;z-index:251666432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0"/>
      <w:spacing w:line="225" w:lineRule="auto"/>
      <w:rPr>
        <w:sz w:val="20"/>
        <w:szCs w:val="20"/>
      </w:rPr>
    </w:pPr>
    <w:r>
      <w:pict>
        <v:shape id="_x0000_s12" style="position:absolute;margin-left:90.15pt;margin-top:58.15pt;mso-position-vertical-relative:page;mso-position-horizontal-relative:page;width:415pt;height:0.5pt;z-index:251667456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"/>
      <w:spacing w:line="225" w:lineRule="auto"/>
      <w:rPr>
        <w:sz w:val="20"/>
        <w:szCs w:val="20"/>
      </w:rPr>
    </w:pPr>
    <w:r>
      <w:pict>
        <v:shape id="_x0000_s14" style="position:absolute;margin-left:90.15pt;margin-top:58.15pt;mso-position-vertical-relative:page;mso-position-horizontal-relative:page;width:415pt;height:0.5pt;z-index:251669504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1"/>
      <w:spacing w:line="225" w:lineRule="auto"/>
      <w:rPr>
        <w:sz w:val="20"/>
        <w:szCs w:val="20"/>
      </w:rPr>
    </w:pPr>
    <w:r>
      <w:pict>
        <v:shape id="_x0000_s16" style="position:absolute;margin-left:90.15pt;margin-top:58.15pt;mso-position-vertical-relative:page;mso-position-horizontal-relative:page;width:415pt;height:0.5pt;z-index:251671552;" o:allowincell="f" fillcolor="#000000" filled="true" stroked="false" coordsize="8300,10" coordorigin="0,0" path="m,l8300,0l8300,9l0,9l0,0xe"/>
      </w:pict>
    </w:r>
    <w:r>
      <w:rPr>
        <w:sz w:val="20"/>
        <w:szCs w:val="20"/>
        <w:spacing w:val="8"/>
      </w:rPr>
      <w:t>苏州琨山通用锁具有限公司</w:t>
    </w:r>
    <w:r>
      <w:rPr>
        <w:sz w:val="20"/>
        <w:szCs w:val="20"/>
        <w:spacing w:val="-40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8"/>
      </w:rPr>
      <w:t>2025 </w:t>
    </w:r>
    <w:r>
      <w:rPr>
        <w:sz w:val="20"/>
        <w:szCs w:val="20"/>
        <w:spacing w:val="8"/>
      </w:rPr>
      <w:t>年度温室气体排放核查报告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21.xml"/><Relationship Id="rId50" Type="http://schemas.openxmlformats.org/officeDocument/2006/relationships/footer" Target="footer20.xml"/><Relationship Id="rId5" Type="http://schemas.openxmlformats.org/officeDocument/2006/relationships/header" Target="header3.xml"/><Relationship Id="rId49" Type="http://schemas.openxmlformats.org/officeDocument/2006/relationships/header" Target="header15.xml"/><Relationship Id="rId48" Type="http://schemas.openxmlformats.org/officeDocument/2006/relationships/footer" Target="footer19.xml"/><Relationship Id="rId47" Type="http://schemas.openxmlformats.org/officeDocument/2006/relationships/header" Target="header14.xml"/><Relationship Id="rId46" Type="http://schemas.openxmlformats.org/officeDocument/2006/relationships/footer" Target="footer18.xml"/><Relationship Id="rId45" Type="http://schemas.openxmlformats.org/officeDocument/2006/relationships/header" Target="header13.xml"/><Relationship Id="rId44" Type="http://schemas.openxmlformats.org/officeDocument/2006/relationships/footer" Target="footer17.xml"/><Relationship Id="rId43" Type="http://schemas.openxmlformats.org/officeDocument/2006/relationships/footer" Target="footer16.xml"/><Relationship Id="rId42" Type="http://schemas.openxmlformats.org/officeDocument/2006/relationships/footer" Target="footer15.xml"/><Relationship Id="rId41" Type="http://schemas.openxmlformats.org/officeDocument/2006/relationships/header" Target="header12.xml"/><Relationship Id="rId40" Type="http://schemas.openxmlformats.org/officeDocument/2006/relationships/footer" Target="footer14.xml"/><Relationship Id="rId4" Type="http://schemas.openxmlformats.org/officeDocument/2006/relationships/header" Target="header2.xml"/><Relationship Id="rId39" Type="http://schemas.openxmlformats.org/officeDocument/2006/relationships/image" Target="media/image14.jpeg"/><Relationship Id="rId38" Type="http://schemas.openxmlformats.org/officeDocument/2006/relationships/image" Target="media/image13.jpeg"/><Relationship Id="rId37" Type="http://schemas.openxmlformats.org/officeDocument/2006/relationships/image" Target="media/image12.jpeg"/><Relationship Id="rId36" Type="http://schemas.openxmlformats.org/officeDocument/2006/relationships/footer" Target="footer13.xml"/><Relationship Id="rId35" Type="http://schemas.openxmlformats.org/officeDocument/2006/relationships/image" Target="media/image11.png"/><Relationship Id="rId34" Type="http://schemas.openxmlformats.org/officeDocument/2006/relationships/image" Target="media/image10.jpeg"/><Relationship Id="rId33" Type="http://schemas.openxmlformats.org/officeDocument/2006/relationships/image" Target="media/image9.png"/><Relationship Id="rId32" Type="http://schemas.openxmlformats.org/officeDocument/2006/relationships/image" Target="media/image8.jpeg"/><Relationship Id="rId31" Type="http://schemas.openxmlformats.org/officeDocument/2006/relationships/footer" Target="footer12.xml"/><Relationship Id="rId30" Type="http://schemas.openxmlformats.org/officeDocument/2006/relationships/header" Target="header11.xml"/><Relationship Id="rId3" Type="http://schemas.openxmlformats.org/officeDocument/2006/relationships/image" Target="media/image1.jpeg"/><Relationship Id="rId29" Type="http://schemas.openxmlformats.org/officeDocument/2006/relationships/image" Target="media/image7.jpeg"/><Relationship Id="rId28" Type="http://schemas.openxmlformats.org/officeDocument/2006/relationships/image" Target="media/image6.png"/><Relationship Id="rId27" Type="http://schemas.openxmlformats.org/officeDocument/2006/relationships/image" Target="media/image5.jpeg"/><Relationship Id="rId26" Type="http://schemas.openxmlformats.org/officeDocument/2006/relationships/footer" Target="footer11.xml"/><Relationship Id="rId25" Type="http://schemas.openxmlformats.org/officeDocument/2006/relationships/header" Target="header10.xml"/><Relationship Id="rId24" Type="http://schemas.openxmlformats.org/officeDocument/2006/relationships/footer" Target="footer10.xml"/><Relationship Id="rId23" Type="http://schemas.openxmlformats.org/officeDocument/2006/relationships/header" Target="header9.xml"/><Relationship Id="rId22" Type="http://schemas.openxmlformats.org/officeDocument/2006/relationships/footer" Target="footer9.xml"/><Relationship Id="rId21" Type="http://schemas.openxmlformats.org/officeDocument/2006/relationships/hyperlink" Target="mailto:gl@kunshanlock.com" TargetMode="External"/><Relationship Id="rId20" Type="http://schemas.openxmlformats.org/officeDocument/2006/relationships/footer" Target="footer8.xml"/><Relationship Id="rId2" Type="http://schemas.openxmlformats.org/officeDocument/2006/relationships/footer" Target="footer1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header" Target="header5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 查 报 告 大 纲</dc:title>
  <dc:creator>Administrator</dc:creator>
  <dcterms:created xsi:type="dcterms:W3CDTF">2026-03-10T14:52:42Z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2026-03-10T16:48:17</vt:filetime>
  </property>
</Properties>
</file>